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E0A" w:rsidRDefault="00E40162" w:rsidP="0044271D">
      <w:pPr>
        <w:jc w:val="center"/>
        <w:rPr>
          <w:b/>
          <w:sz w:val="28"/>
          <w:szCs w:val="28"/>
          <w:u w:val="double"/>
        </w:rPr>
      </w:pPr>
      <w:r w:rsidRPr="00E40162">
        <w:rPr>
          <w:b/>
          <w:sz w:val="28"/>
          <w:szCs w:val="28"/>
          <w:u w:val="double"/>
        </w:rPr>
        <w:t>BRIEF MARKET SURVEY ON PHOTOVOLTAIC</w:t>
      </w:r>
      <w:r>
        <w:rPr>
          <w:b/>
          <w:sz w:val="28"/>
          <w:szCs w:val="28"/>
          <w:u w:val="double"/>
        </w:rPr>
        <w:t xml:space="preserve"> (IN ITALY</w:t>
      </w:r>
      <w:r w:rsidR="00E5189B">
        <w:rPr>
          <w:b/>
          <w:sz w:val="28"/>
          <w:szCs w:val="28"/>
          <w:u w:val="double"/>
        </w:rPr>
        <w:t xml:space="preserve"> – </w:t>
      </w:r>
      <w:proofErr w:type="spellStart"/>
      <w:r w:rsidR="00E5189B">
        <w:rPr>
          <w:b/>
          <w:sz w:val="28"/>
          <w:szCs w:val="28"/>
          <w:u w:val="double"/>
        </w:rPr>
        <w:t>Summer</w:t>
      </w:r>
      <w:proofErr w:type="spellEnd"/>
      <w:r w:rsidR="00E5189B">
        <w:rPr>
          <w:b/>
          <w:sz w:val="28"/>
          <w:szCs w:val="28"/>
          <w:u w:val="double"/>
        </w:rPr>
        <w:t xml:space="preserve"> 2023</w:t>
      </w:r>
      <w:r>
        <w:rPr>
          <w:b/>
          <w:sz w:val="28"/>
          <w:szCs w:val="28"/>
          <w:u w:val="double"/>
        </w:rPr>
        <w:t>)</w:t>
      </w:r>
    </w:p>
    <w:p w:rsidR="001273BA" w:rsidRPr="00DF762E" w:rsidRDefault="001273BA" w:rsidP="001273BA">
      <w:pPr>
        <w:spacing w:after="180" w:line="240" w:lineRule="auto"/>
        <w:ind w:right="43"/>
        <w:contextualSpacing/>
        <w:jc w:val="center"/>
        <w:rPr>
          <w:i/>
          <w:sz w:val="20"/>
          <w:szCs w:val="20"/>
          <w:lang w:val="en-US"/>
        </w:rPr>
      </w:pPr>
      <w:proofErr w:type="spellStart"/>
      <w:r w:rsidRPr="00DF762E">
        <w:rPr>
          <w:i/>
          <w:sz w:val="18"/>
          <w:szCs w:val="18"/>
          <w:lang w:val="en-US"/>
        </w:rPr>
        <w:t>Dott</w:t>
      </w:r>
      <w:proofErr w:type="spellEnd"/>
      <w:r w:rsidRPr="00DF762E">
        <w:rPr>
          <w:i/>
          <w:sz w:val="18"/>
          <w:szCs w:val="18"/>
          <w:lang w:val="en-US"/>
        </w:rPr>
        <w:t xml:space="preserve">. </w:t>
      </w:r>
      <w:proofErr w:type="spellStart"/>
      <w:r w:rsidRPr="00DF762E">
        <w:rPr>
          <w:i/>
          <w:sz w:val="18"/>
          <w:szCs w:val="18"/>
          <w:lang w:val="en-US"/>
        </w:rPr>
        <w:t>Per.Ind</w:t>
      </w:r>
      <w:proofErr w:type="spellEnd"/>
      <w:r w:rsidRPr="00DF762E">
        <w:rPr>
          <w:i/>
          <w:sz w:val="18"/>
          <w:szCs w:val="18"/>
          <w:lang w:val="en-US"/>
        </w:rPr>
        <w:t>.</w:t>
      </w:r>
      <w:r w:rsidRPr="00DF762E">
        <w:rPr>
          <w:i/>
          <w:sz w:val="20"/>
          <w:szCs w:val="20"/>
          <w:lang w:val="en-US"/>
        </w:rPr>
        <w:t xml:space="preserve"> </w:t>
      </w:r>
      <w:r w:rsidRPr="00DF762E">
        <w:rPr>
          <w:i/>
          <w:sz w:val="24"/>
          <w:szCs w:val="24"/>
          <w:lang w:val="en-US"/>
        </w:rPr>
        <w:t xml:space="preserve">R. </w:t>
      </w:r>
      <w:proofErr w:type="spellStart"/>
      <w:r w:rsidRPr="00DF762E">
        <w:rPr>
          <w:i/>
          <w:sz w:val="24"/>
          <w:szCs w:val="24"/>
          <w:lang w:val="en-US"/>
        </w:rPr>
        <w:t>Morelli</w:t>
      </w:r>
      <w:proofErr w:type="spellEnd"/>
      <w:r w:rsidRPr="00DF762E">
        <w:rPr>
          <w:i/>
          <w:sz w:val="20"/>
          <w:szCs w:val="20"/>
          <w:lang w:val="en-US"/>
        </w:rPr>
        <w:t xml:space="preserve">;  </w:t>
      </w:r>
      <w:proofErr w:type="spellStart"/>
      <w:r w:rsidRPr="00DF762E">
        <w:rPr>
          <w:i/>
          <w:sz w:val="18"/>
          <w:szCs w:val="18"/>
          <w:lang w:val="en-US"/>
        </w:rPr>
        <w:t>IEng</w:t>
      </w:r>
      <w:proofErr w:type="spellEnd"/>
      <w:r w:rsidRPr="00DF762E">
        <w:rPr>
          <w:i/>
          <w:sz w:val="18"/>
          <w:szCs w:val="18"/>
          <w:lang w:val="en-US"/>
        </w:rPr>
        <w:t xml:space="preserve"> MIET; ICEC TCM A</w:t>
      </w:r>
    </w:p>
    <w:p w:rsidR="001273BA" w:rsidRPr="00DF762E" w:rsidRDefault="001273BA" w:rsidP="001273BA">
      <w:pPr>
        <w:spacing w:after="180" w:line="240" w:lineRule="auto"/>
        <w:ind w:right="43"/>
        <w:contextualSpacing/>
        <w:jc w:val="center"/>
        <w:rPr>
          <w:b/>
          <w:sz w:val="24"/>
          <w:szCs w:val="24"/>
          <w:lang w:val="en-US"/>
        </w:rPr>
      </w:pPr>
    </w:p>
    <w:p w:rsidR="001273BA" w:rsidRPr="00C8477C" w:rsidRDefault="001273BA" w:rsidP="001273BA">
      <w:pPr>
        <w:spacing w:after="180" w:line="240" w:lineRule="auto"/>
        <w:ind w:right="43"/>
        <w:contextualSpacing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it-IT"/>
        </w:rPr>
        <w:drawing>
          <wp:inline distT="0" distB="0" distL="0" distR="0" wp14:anchorId="4688BD3A" wp14:editId="06D028F9">
            <wp:extent cx="952500" cy="952500"/>
            <wp:effectExtent l="0" t="0" r="0" b="0"/>
            <wp:docPr id="4" name="Immagine 4" descr="C:\Users\rocco\Documents\Loghi\logoaice2011_100 -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cco\Documents\Loghi\logoaice2011_100 - Copi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ab/>
      </w:r>
      <w:r>
        <w:rPr>
          <w:b/>
          <w:noProof/>
          <w:sz w:val="24"/>
          <w:szCs w:val="24"/>
          <w:lang w:eastAsia="it-IT"/>
        </w:rPr>
        <w:drawing>
          <wp:inline distT="0" distB="0" distL="0" distR="0" wp14:anchorId="7AC09632" wp14:editId="494EEFC7">
            <wp:extent cx="1013414" cy="942975"/>
            <wp:effectExtent l="0" t="0" r="0" b="0"/>
            <wp:docPr id="299" name="Immagine 299" descr="C:\Users\rocco\Documents\Loghi\IC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cco\Documents\Loghi\ICE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755" cy="946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CCE" w:rsidRPr="0044271D" w:rsidRDefault="007A0CCE" w:rsidP="0044271D">
      <w:pPr>
        <w:jc w:val="center"/>
        <w:rPr>
          <w:b/>
          <w:sz w:val="28"/>
          <w:szCs w:val="28"/>
          <w:u w:val="double"/>
        </w:rPr>
      </w:pPr>
    </w:p>
    <w:p w:rsidR="00C35E20" w:rsidRPr="0056056F" w:rsidRDefault="00E40162" w:rsidP="00E40162">
      <w:pPr>
        <w:pStyle w:val="Paragrafoelenco"/>
        <w:numPr>
          <w:ilvl w:val="0"/>
          <w:numId w:val="2"/>
        </w:numPr>
        <w:rPr>
          <w:b/>
          <w:sz w:val="24"/>
          <w:szCs w:val="24"/>
          <w:u w:val="single"/>
        </w:rPr>
      </w:pPr>
      <w:r w:rsidRPr="00E40162">
        <w:rPr>
          <w:b/>
          <w:sz w:val="24"/>
          <w:szCs w:val="24"/>
          <w:u w:val="single"/>
        </w:rPr>
        <w:t>SMALL POWER PHOTOV</w:t>
      </w:r>
      <w:r>
        <w:rPr>
          <w:b/>
          <w:sz w:val="24"/>
          <w:szCs w:val="24"/>
          <w:u w:val="single"/>
        </w:rPr>
        <w:t xml:space="preserve">OLTAIC SYSTEMS FOR DOMESTIC/SME </w:t>
      </w:r>
      <w:r w:rsidRPr="00E40162">
        <w:rPr>
          <w:b/>
          <w:sz w:val="24"/>
          <w:szCs w:val="24"/>
          <w:u w:val="single"/>
        </w:rPr>
        <w:t>(Small or Medium Enterprises)</w:t>
      </w:r>
      <w:r>
        <w:rPr>
          <w:b/>
          <w:sz w:val="24"/>
          <w:szCs w:val="24"/>
          <w:u w:val="single"/>
        </w:rPr>
        <w:t xml:space="preserve"> </w:t>
      </w:r>
      <w:r w:rsidRPr="00E40162">
        <w:rPr>
          <w:b/>
          <w:sz w:val="24"/>
          <w:szCs w:val="24"/>
          <w:u w:val="single"/>
        </w:rPr>
        <w:t xml:space="preserve">USE </w:t>
      </w:r>
    </w:p>
    <w:p w:rsidR="00312E9E" w:rsidRDefault="00E40162" w:rsidP="007D1114">
      <w:pPr>
        <w:tabs>
          <w:tab w:val="left" w:pos="5460"/>
        </w:tabs>
        <w:jc w:val="both"/>
      </w:pPr>
      <w:r w:rsidRPr="00E40162">
        <w:t xml:space="preserve">The data </w:t>
      </w:r>
      <w:proofErr w:type="spellStart"/>
      <w:r w:rsidRPr="00E40162">
        <w:t>collected</w:t>
      </w:r>
      <w:proofErr w:type="spellEnd"/>
      <w:r w:rsidRPr="00E40162">
        <w:t xml:space="preserve"> on commercial </w:t>
      </w:r>
      <w:proofErr w:type="spellStart"/>
      <w:r w:rsidRPr="00E40162">
        <w:t>sites</w:t>
      </w:r>
      <w:proofErr w:type="spellEnd"/>
      <w:r w:rsidRPr="00E40162">
        <w:t xml:space="preserve"> on </w:t>
      </w:r>
      <w:r w:rsidRPr="00E40162">
        <w:t>Internet</w:t>
      </w:r>
      <w:r w:rsidRPr="00E40162">
        <w:t xml:space="preserve"> (Amazon and Alia) are </w:t>
      </w:r>
      <w:proofErr w:type="spellStart"/>
      <w:r w:rsidRPr="00E40162">
        <w:t>as</w:t>
      </w:r>
      <w:proofErr w:type="spellEnd"/>
      <w:r w:rsidRPr="00E40162">
        <w:t xml:space="preserve"> </w:t>
      </w:r>
      <w:proofErr w:type="spellStart"/>
      <w:r w:rsidRPr="00E40162">
        <w:t>follows</w:t>
      </w:r>
      <w:proofErr w:type="spellEnd"/>
      <w:r w:rsidRPr="00E40162">
        <w:t xml:space="preserve">. An </w:t>
      </w:r>
      <w:proofErr w:type="spellStart"/>
      <w:r w:rsidRPr="00E40162">
        <w:t>attempt</w:t>
      </w:r>
      <w:proofErr w:type="spellEnd"/>
      <w:r w:rsidRPr="00E40162">
        <w:t xml:space="preserve"> </w:t>
      </w:r>
      <w:proofErr w:type="spellStart"/>
      <w:r w:rsidRPr="00E40162">
        <w:t>has</w:t>
      </w:r>
      <w:proofErr w:type="spellEnd"/>
      <w:r w:rsidRPr="00E40162">
        <w:t xml:space="preserve"> </w:t>
      </w:r>
      <w:proofErr w:type="spellStart"/>
      <w:r w:rsidRPr="00E40162">
        <w:t>been</w:t>
      </w:r>
      <w:proofErr w:type="spellEnd"/>
      <w:r w:rsidRPr="00E40162">
        <w:t xml:space="preserve"> made to </w:t>
      </w:r>
      <w:proofErr w:type="spellStart"/>
      <w:r w:rsidRPr="00E40162">
        <w:t>detect</w:t>
      </w:r>
      <w:proofErr w:type="spellEnd"/>
      <w:r w:rsidRPr="00E40162">
        <w:t xml:space="preserve">, </w:t>
      </w:r>
      <w:proofErr w:type="spellStart"/>
      <w:r w:rsidRPr="00E40162">
        <w:t>where</w:t>
      </w:r>
      <w:proofErr w:type="spellEnd"/>
      <w:r w:rsidRPr="00E40162">
        <w:t xml:space="preserve"> </w:t>
      </w:r>
      <w:proofErr w:type="spellStart"/>
      <w:r w:rsidRPr="00E40162">
        <w:t>possible</w:t>
      </w:r>
      <w:proofErr w:type="spellEnd"/>
      <w:r w:rsidRPr="00E40162">
        <w:t xml:space="preserve">, the minimum and maximum </w:t>
      </w:r>
      <w:proofErr w:type="spellStart"/>
      <w:r w:rsidRPr="00E40162">
        <w:t>values</w:t>
      </w:r>
      <w:proofErr w:type="spellEnd"/>
      <w:r w:rsidRPr="00E40162">
        <w:t xml:space="preserve"> of the </w:t>
      </w:r>
      <w:proofErr w:type="spellStart"/>
      <w:r w:rsidRPr="00E40162">
        <w:t>individual</w:t>
      </w:r>
      <w:proofErr w:type="spellEnd"/>
      <w:r w:rsidRPr="00E40162">
        <w:t xml:space="preserve"> </w:t>
      </w:r>
      <w:proofErr w:type="spellStart"/>
      <w:r w:rsidRPr="00E40162">
        <w:t>kits</w:t>
      </w:r>
      <w:proofErr w:type="spellEnd"/>
      <w:r w:rsidRPr="00E40162">
        <w:t xml:space="preserve">, the </w:t>
      </w:r>
      <w:proofErr w:type="spellStart"/>
      <w:r w:rsidRPr="00E40162">
        <w:t>assembly</w:t>
      </w:r>
      <w:proofErr w:type="spellEnd"/>
      <w:r w:rsidRPr="00E40162">
        <w:t xml:space="preserve"> of </w:t>
      </w:r>
      <w:proofErr w:type="spellStart"/>
      <w:r w:rsidRPr="00E40162">
        <w:t>which</w:t>
      </w:r>
      <w:proofErr w:type="spellEnd"/>
      <w:r w:rsidRPr="00E40162">
        <w:t xml:space="preserve"> </w:t>
      </w:r>
      <w:proofErr w:type="spellStart"/>
      <w:r w:rsidRPr="00E40162">
        <w:t>is</w:t>
      </w:r>
      <w:proofErr w:type="spellEnd"/>
      <w:r w:rsidRPr="00E40162">
        <w:t xml:space="preserve"> </w:t>
      </w:r>
      <w:proofErr w:type="spellStart"/>
      <w:r w:rsidRPr="00E40162">
        <w:t>at</w:t>
      </w:r>
      <w:proofErr w:type="spellEnd"/>
      <w:r w:rsidRPr="00E40162">
        <w:t xml:space="preserve"> </w:t>
      </w:r>
      <w:proofErr w:type="spellStart"/>
      <w:r w:rsidRPr="00E40162">
        <w:t>one's</w:t>
      </w:r>
      <w:proofErr w:type="spellEnd"/>
      <w:r w:rsidRPr="00E40162">
        <w:t xml:space="preserve"> </w:t>
      </w:r>
      <w:proofErr w:type="spellStart"/>
      <w:r w:rsidRPr="00E40162">
        <w:t>own</w:t>
      </w:r>
      <w:proofErr w:type="spellEnd"/>
      <w:r w:rsidRPr="00E40162">
        <w:t xml:space="preserve"> </w:t>
      </w:r>
      <w:proofErr w:type="spellStart"/>
      <w:r w:rsidRPr="00E40162">
        <w:t>expense</w:t>
      </w:r>
      <w:proofErr w:type="spellEnd"/>
      <w:r w:rsidRPr="00E40162">
        <w:t xml:space="preserve"> or with </w:t>
      </w:r>
      <w:proofErr w:type="spellStart"/>
      <w:r w:rsidRPr="00E40162">
        <w:t>generally</w:t>
      </w:r>
      <w:proofErr w:type="spellEnd"/>
      <w:r w:rsidRPr="00E40162">
        <w:t xml:space="preserve"> </w:t>
      </w:r>
      <w:proofErr w:type="spellStart"/>
      <w:r w:rsidRPr="00E40162">
        <w:t>trusted</w:t>
      </w:r>
      <w:proofErr w:type="spellEnd"/>
      <w:r w:rsidRPr="00E40162">
        <w:t xml:space="preserve"> </w:t>
      </w:r>
      <w:proofErr w:type="spellStart"/>
      <w:r w:rsidRPr="00E40162">
        <w:t>technicians</w:t>
      </w:r>
      <w:proofErr w:type="spellEnd"/>
      <w:r w:rsidRPr="00E40162">
        <w:t xml:space="preserve">. For small </w:t>
      </w:r>
      <w:proofErr w:type="spellStart"/>
      <w:r w:rsidRPr="00E40162">
        <w:t>systems</w:t>
      </w:r>
      <w:proofErr w:type="spellEnd"/>
      <w:r w:rsidRPr="00E40162">
        <w:t xml:space="preserve">, </w:t>
      </w:r>
      <w:proofErr w:type="spellStart"/>
      <w:r w:rsidRPr="00E40162">
        <w:t>beyond</w:t>
      </w:r>
      <w:proofErr w:type="spellEnd"/>
      <w:r w:rsidRPr="00E40162">
        <w:t xml:space="preserve"> the "</w:t>
      </w:r>
      <w:proofErr w:type="spellStart"/>
      <w:r w:rsidRPr="00E40162">
        <w:t>do-it-yourself</w:t>
      </w:r>
      <w:proofErr w:type="spellEnd"/>
      <w:r w:rsidRPr="00E40162">
        <w:t xml:space="preserve">", </w:t>
      </w:r>
      <w:proofErr w:type="spellStart"/>
      <w:r w:rsidRPr="00E40162">
        <w:t>it</w:t>
      </w:r>
      <w:proofErr w:type="spellEnd"/>
      <w:r w:rsidRPr="00E40162">
        <w:t xml:space="preserve"> </w:t>
      </w:r>
      <w:proofErr w:type="spellStart"/>
      <w:r w:rsidRPr="00E40162">
        <w:t>is</w:t>
      </w:r>
      <w:proofErr w:type="spellEnd"/>
      <w:r w:rsidRPr="00E40162">
        <w:t xml:space="preserve"> </w:t>
      </w:r>
      <w:proofErr w:type="spellStart"/>
      <w:r w:rsidRPr="00E40162">
        <w:t>therefore</w:t>
      </w:r>
      <w:proofErr w:type="spellEnd"/>
      <w:r w:rsidRPr="00E40162">
        <w:t xml:space="preserve"> </w:t>
      </w:r>
      <w:proofErr w:type="spellStart"/>
      <w:r w:rsidRPr="00E40162">
        <w:t>possible</w:t>
      </w:r>
      <w:proofErr w:type="spellEnd"/>
      <w:r w:rsidRPr="00E40162">
        <w:t xml:space="preserve"> t</w:t>
      </w:r>
      <w:r>
        <w:t xml:space="preserve">o take </w:t>
      </w:r>
      <w:proofErr w:type="spellStart"/>
      <w:r>
        <w:t>into</w:t>
      </w:r>
      <w:proofErr w:type="spellEnd"/>
      <w:r>
        <w:t xml:space="preserve"> account an </w:t>
      </w:r>
      <w:proofErr w:type="spellStart"/>
      <w:r>
        <w:t>additional</w:t>
      </w:r>
      <w:proofErr w:type="spellEnd"/>
      <w:r>
        <w:t xml:space="preserve"> </w:t>
      </w:r>
      <w:proofErr w:type="spellStart"/>
      <w:r w:rsidRPr="00E40162">
        <w:t>assembly</w:t>
      </w:r>
      <w:proofErr w:type="spellEnd"/>
      <w:r w:rsidRPr="00E40162">
        <w:t xml:space="preserve"> </w:t>
      </w:r>
      <w:proofErr w:type="spellStart"/>
      <w:r w:rsidRPr="00E40162">
        <w:t>burden</w:t>
      </w:r>
      <w:proofErr w:type="spellEnd"/>
      <w:r w:rsidRPr="00E40162">
        <w:t>.</w:t>
      </w:r>
    </w:p>
    <w:tbl>
      <w:tblPr>
        <w:tblW w:w="19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6"/>
      </w:tblGrid>
      <w:tr w:rsidR="00312E9E" w:rsidRPr="00312E9E" w:rsidTr="00312E9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312E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kWp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€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1472,5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2176,744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2176,744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2872,422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4246,198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4246,198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4246,198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6277,001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6277,001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8283,104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8283,104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13553,62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13553,62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13553,62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13553,62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26439,19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26439,19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39084,11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39084,11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39084,11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63953,22</w:t>
            </w:r>
          </w:p>
        </w:tc>
      </w:tr>
      <w:tr w:rsidR="00312E9E" w:rsidRPr="00312E9E" w:rsidTr="00312E9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63953,22</w:t>
            </w:r>
          </w:p>
        </w:tc>
      </w:tr>
      <w:tr w:rsidR="00312E9E" w:rsidRPr="00312E9E" w:rsidTr="00312E9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2E9E" w:rsidRPr="00312E9E" w:rsidRDefault="00312E9E" w:rsidP="0031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12E9E">
              <w:rPr>
                <w:rFonts w:ascii="Calibri" w:eastAsia="Times New Roman" w:hAnsi="Calibri" w:cs="Calibri"/>
                <w:color w:val="000000"/>
                <w:lang w:eastAsia="it-IT"/>
              </w:rPr>
              <w:t>63953,22</w:t>
            </w:r>
          </w:p>
        </w:tc>
      </w:tr>
    </w:tbl>
    <w:p w:rsidR="00312E9E" w:rsidRDefault="00312E9E" w:rsidP="00312E9E">
      <w:pPr>
        <w:tabs>
          <w:tab w:val="left" w:pos="5460"/>
        </w:tabs>
        <w:jc w:val="center"/>
      </w:pPr>
    </w:p>
    <w:p w:rsidR="00312E9E" w:rsidRDefault="00312E9E" w:rsidP="00312E9E">
      <w:pPr>
        <w:tabs>
          <w:tab w:val="left" w:pos="5460"/>
        </w:tabs>
        <w:jc w:val="center"/>
      </w:pPr>
      <w:proofErr w:type="spellStart"/>
      <w:r>
        <w:t>Tab</w:t>
      </w:r>
      <w:proofErr w:type="spellEnd"/>
      <w:r>
        <w:t>. 1</w:t>
      </w:r>
    </w:p>
    <w:p w:rsidR="00670B37" w:rsidRDefault="00670B37" w:rsidP="00312E9E">
      <w:pPr>
        <w:tabs>
          <w:tab w:val="left" w:pos="5460"/>
        </w:tabs>
        <w:jc w:val="both"/>
      </w:pPr>
      <w:proofErr w:type="spellStart"/>
      <w:r w:rsidRPr="00670B37">
        <w:t>Subjected</w:t>
      </w:r>
      <w:proofErr w:type="spellEnd"/>
      <w:r w:rsidRPr="00670B37">
        <w:t xml:space="preserve"> to </w:t>
      </w:r>
      <w:proofErr w:type="spellStart"/>
      <w:r w:rsidRPr="00670B37">
        <w:t>correlation</w:t>
      </w:r>
      <w:proofErr w:type="spellEnd"/>
      <w:r w:rsidRPr="00670B37">
        <w:t xml:space="preserve"> </w:t>
      </w:r>
      <w:proofErr w:type="spellStart"/>
      <w:r w:rsidRPr="00670B37">
        <w:t>between</w:t>
      </w:r>
      <w:proofErr w:type="spellEnd"/>
      <w:r w:rsidRPr="00670B37">
        <w:t xml:space="preserve"> </w:t>
      </w:r>
      <w:proofErr w:type="spellStart"/>
      <w:r w:rsidRPr="00670B37">
        <w:t>Cost</w:t>
      </w:r>
      <w:proofErr w:type="spellEnd"/>
      <w:r w:rsidRPr="00670B37">
        <w:t xml:space="preserve"> (Euro) and </w:t>
      </w:r>
      <w:proofErr w:type="spellStart"/>
      <w:r w:rsidR="00511D74">
        <w:t>Peak</w:t>
      </w:r>
      <w:proofErr w:type="spellEnd"/>
      <w:r w:rsidR="00511D74">
        <w:t xml:space="preserve"> </w:t>
      </w:r>
      <w:proofErr w:type="spellStart"/>
      <w:r w:rsidRPr="00670B37">
        <w:t>Power</w:t>
      </w:r>
      <w:proofErr w:type="spellEnd"/>
      <w:r w:rsidRPr="00670B37">
        <w:t xml:space="preserve"> (</w:t>
      </w:r>
      <w:proofErr w:type="spellStart"/>
      <w:r w:rsidRPr="00670B37">
        <w:t>kWp</w:t>
      </w:r>
      <w:proofErr w:type="spellEnd"/>
      <w:r w:rsidRPr="00670B37">
        <w:t xml:space="preserve">), the data </w:t>
      </w:r>
      <w:proofErr w:type="spellStart"/>
      <w:r w:rsidRPr="00670B37">
        <w:t>collected</w:t>
      </w:r>
      <w:proofErr w:type="spellEnd"/>
      <w:r w:rsidRPr="00670B37">
        <w:t xml:space="preserve"> </w:t>
      </w:r>
      <w:proofErr w:type="spellStart"/>
      <w:r w:rsidRPr="00670B37">
        <w:t>provide</w:t>
      </w:r>
      <w:proofErr w:type="spellEnd"/>
      <w:r w:rsidRPr="00670B37">
        <w:t xml:space="preserve"> the </w:t>
      </w:r>
      <w:proofErr w:type="spellStart"/>
      <w:r w:rsidRPr="00670B37">
        <w:t>results</w:t>
      </w:r>
      <w:proofErr w:type="spellEnd"/>
      <w:r w:rsidRPr="00670B37">
        <w:t xml:space="preserve"> </w:t>
      </w:r>
      <w:proofErr w:type="spellStart"/>
      <w:r w:rsidRPr="00670B37">
        <w:t>shown</w:t>
      </w:r>
      <w:proofErr w:type="spellEnd"/>
      <w:r w:rsidRPr="00670B37">
        <w:t xml:space="preserve"> in </w:t>
      </w:r>
      <w:proofErr w:type="spellStart"/>
      <w:r w:rsidRPr="00670B37">
        <w:t>this</w:t>
      </w:r>
      <w:proofErr w:type="spellEnd"/>
      <w:r w:rsidRPr="00670B37">
        <w:t xml:space="preserve"> </w:t>
      </w:r>
      <w:proofErr w:type="spellStart"/>
      <w:r w:rsidRPr="00670B37">
        <w:t>graph</w:t>
      </w:r>
      <w:proofErr w:type="spellEnd"/>
      <w:r w:rsidRPr="00670B37">
        <w:t xml:space="preserve"> in Fig. 1.</w:t>
      </w:r>
    </w:p>
    <w:p w:rsidR="00312E9E" w:rsidRDefault="00C579D6" w:rsidP="00C579D6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17A18172" wp14:editId="6D0BE759">
            <wp:extent cx="4572000" cy="2749550"/>
            <wp:effectExtent l="0" t="0" r="19050" b="1270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579D6" w:rsidRDefault="001E07F9" w:rsidP="00C579D6">
      <w:pPr>
        <w:jc w:val="center"/>
      </w:pPr>
      <w:r>
        <w:t>Fig. 1</w:t>
      </w:r>
    </w:p>
    <w:p w:rsidR="0056056F" w:rsidRDefault="00670B37" w:rsidP="00670B37">
      <w:pPr>
        <w:jc w:val="both"/>
      </w:pPr>
      <w:proofErr w:type="spellStart"/>
      <w:r w:rsidRPr="00670B37">
        <w:t>It</w:t>
      </w:r>
      <w:proofErr w:type="spellEnd"/>
      <w:r w:rsidRPr="00670B37">
        <w:t xml:space="preserve"> can be </w:t>
      </w:r>
      <w:proofErr w:type="spellStart"/>
      <w:r w:rsidRPr="00670B37">
        <w:t>seen</w:t>
      </w:r>
      <w:proofErr w:type="spellEnd"/>
      <w:r w:rsidRPr="00670B37">
        <w:t xml:space="preserve"> </w:t>
      </w:r>
      <w:proofErr w:type="spellStart"/>
      <w:r w:rsidRPr="00670B37">
        <w:t>that</w:t>
      </w:r>
      <w:proofErr w:type="spellEnd"/>
      <w:r w:rsidRPr="00670B37">
        <w:t xml:space="preserve"> the </w:t>
      </w:r>
      <w:proofErr w:type="spellStart"/>
      <w:r w:rsidRPr="00670B37">
        <w:t>correlation</w:t>
      </w:r>
      <w:proofErr w:type="spellEnd"/>
      <w:r w:rsidRPr="00670B37">
        <w:t xml:space="preserve"> </w:t>
      </w:r>
      <w:proofErr w:type="spellStart"/>
      <w:r w:rsidRPr="00670B37">
        <w:t>is</w:t>
      </w:r>
      <w:proofErr w:type="spellEnd"/>
      <w:r w:rsidRPr="00670B37">
        <w:t xml:space="preserve"> </w:t>
      </w:r>
      <w:proofErr w:type="spellStart"/>
      <w:r w:rsidRPr="00670B37">
        <w:t>quite</w:t>
      </w:r>
      <w:proofErr w:type="spellEnd"/>
      <w:r w:rsidRPr="00670B37">
        <w:t xml:space="preserve"> </w:t>
      </w:r>
      <w:proofErr w:type="spellStart"/>
      <w:r w:rsidRPr="00670B37">
        <w:t>good</w:t>
      </w:r>
      <w:proofErr w:type="spellEnd"/>
      <w:r w:rsidRPr="00670B37">
        <w:t xml:space="preserve"> (&gt; 0.9) and the </w:t>
      </w:r>
      <w:proofErr w:type="spellStart"/>
      <w:r w:rsidRPr="00670B37">
        <w:t>coefficient</w:t>
      </w:r>
      <w:proofErr w:type="spellEnd"/>
      <w:r w:rsidRPr="00670B37">
        <w:t xml:space="preserve"> of </w:t>
      </w:r>
      <w:proofErr w:type="spellStart"/>
      <w:r w:rsidRPr="00670B37">
        <w:t>determination</w:t>
      </w:r>
      <w:proofErr w:type="spellEnd"/>
      <w:r w:rsidRPr="00670B37">
        <w:t xml:space="preserve"> R</w:t>
      </w:r>
      <w:r w:rsidRPr="00511D74">
        <w:rPr>
          <w:vertAlign w:val="superscript"/>
        </w:rPr>
        <w:t>2</w:t>
      </w:r>
      <w:r w:rsidRPr="00670B37">
        <w:t xml:space="preserve"> </w:t>
      </w:r>
      <w:proofErr w:type="spellStart"/>
      <w:r w:rsidRPr="00670B37">
        <w:t>suggests</w:t>
      </w:r>
      <w:proofErr w:type="spellEnd"/>
      <w:r w:rsidRPr="00670B37">
        <w:t xml:space="preserve"> </w:t>
      </w:r>
      <w:proofErr w:type="spellStart"/>
      <w:r w:rsidRPr="00670B37">
        <w:t>that</w:t>
      </w:r>
      <w:proofErr w:type="spellEnd"/>
      <w:r w:rsidRPr="00670B37">
        <w:t xml:space="preserve"> the </w:t>
      </w:r>
      <w:proofErr w:type="spellStart"/>
      <w:r w:rsidRPr="00670B37">
        <w:t>error</w:t>
      </w:r>
      <w:proofErr w:type="spellEnd"/>
      <w:r w:rsidRPr="00670B37">
        <w:t xml:space="preserve"> with </w:t>
      </w:r>
      <w:proofErr w:type="spellStart"/>
      <w:r w:rsidRPr="00670B37">
        <w:t>respect</w:t>
      </w:r>
      <w:proofErr w:type="spellEnd"/>
      <w:r w:rsidRPr="00670B37">
        <w:t xml:space="preserve"> to the </w:t>
      </w:r>
      <w:proofErr w:type="spellStart"/>
      <w:r w:rsidRPr="00670B37">
        <w:t>real</w:t>
      </w:r>
      <w:proofErr w:type="spellEnd"/>
      <w:r w:rsidRPr="00670B37">
        <w:t xml:space="preserve"> </w:t>
      </w:r>
      <w:proofErr w:type="spellStart"/>
      <w:r w:rsidRPr="00670B37">
        <w:t>detected</w:t>
      </w:r>
      <w:proofErr w:type="spellEnd"/>
      <w:r w:rsidRPr="00670B37">
        <w:t xml:space="preserve"> data can be </w:t>
      </w:r>
      <w:proofErr w:type="spellStart"/>
      <w:r w:rsidRPr="00670B37">
        <w:t>contained</w:t>
      </w:r>
      <w:proofErr w:type="spellEnd"/>
      <w:r w:rsidRPr="00670B37">
        <w:t xml:space="preserve"> in the </w:t>
      </w:r>
      <w:proofErr w:type="spellStart"/>
      <w:r w:rsidRPr="00670B37">
        <w:t>range</w:t>
      </w:r>
      <w:proofErr w:type="spellEnd"/>
      <w:r w:rsidRPr="00670B37">
        <w:t xml:space="preserve"> of ±10% (</w:t>
      </w:r>
      <w:proofErr w:type="spellStart"/>
      <w:r w:rsidRPr="00670B37">
        <w:t>presumably</w:t>
      </w:r>
      <w:proofErr w:type="spellEnd"/>
      <w:r w:rsidRPr="00670B37">
        <w:t xml:space="preserve"> the </w:t>
      </w:r>
      <w:proofErr w:type="spellStart"/>
      <w:r w:rsidRPr="00670B37">
        <w:t>assembling</w:t>
      </w:r>
      <w:proofErr w:type="spellEnd"/>
      <w:r w:rsidRPr="00670B37">
        <w:t xml:space="preserve"> </w:t>
      </w:r>
      <w:proofErr w:type="spellStart"/>
      <w:r w:rsidRPr="00670B37">
        <w:t>costs</w:t>
      </w:r>
      <w:proofErr w:type="spellEnd"/>
      <w:r w:rsidRPr="00670B37">
        <w:t xml:space="preserve"> of the </w:t>
      </w:r>
      <w:proofErr w:type="spellStart"/>
      <w:r w:rsidRPr="00670B37">
        <w:t>kits</w:t>
      </w:r>
      <w:proofErr w:type="spellEnd"/>
      <w:r w:rsidRPr="00670B37">
        <w:t xml:space="preserve"> </w:t>
      </w:r>
      <w:proofErr w:type="spellStart"/>
      <w:r w:rsidRPr="00670B37">
        <w:t>not</w:t>
      </w:r>
      <w:proofErr w:type="spellEnd"/>
      <w:r w:rsidRPr="00670B37">
        <w:t xml:space="preserve"> </w:t>
      </w:r>
      <w:proofErr w:type="spellStart"/>
      <w:r w:rsidRPr="00670B37">
        <w:t>always</w:t>
      </w:r>
      <w:proofErr w:type="spellEnd"/>
      <w:r w:rsidRPr="00670B37">
        <w:t xml:space="preserve"> </w:t>
      </w:r>
      <w:proofErr w:type="spellStart"/>
      <w:r w:rsidRPr="00670B37">
        <w:t>included</w:t>
      </w:r>
      <w:proofErr w:type="spellEnd"/>
      <w:r w:rsidRPr="00670B37">
        <w:t xml:space="preserve">). The green </w:t>
      </w:r>
      <w:proofErr w:type="spellStart"/>
      <w:r w:rsidRPr="00670B37">
        <w:t>contour</w:t>
      </w:r>
      <w:proofErr w:type="spellEnd"/>
      <w:r w:rsidRPr="00670B37">
        <w:t xml:space="preserve"> line of the data </w:t>
      </w:r>
      <w:proofErr w:type="spellStart"/>
      <w:r w:rsidRPr="00670B37">
        <w:t>suggests</w:t>
      </w:r>
      <w:proofErr w:type="spellEnd"/>
      <w:r w:rsidRPr="00670B37">
        <w:t xml:space="preserve"> the general scope of market </w:t>
      </w:r>
      <w:proofErr w:type="spellStart"/>
      <w:r w:rsidRPr="00670B37">
        <w:t>values</w:t>
      </w:r>
      <w:proofErr w:type="spellEnd"/>
      <w:r w:rsidRPr="00670B37">
        <w:t xml:space="preserve">. </w:t>
      </w:r>
      <w:proofErr w:type="spellStart"/>
      <w:r w:rsidRPr="00670B37">
        <w:t>Values</w:t>
      </w:r>
      <w:proofErr w:type="spellEnd"/>
      <w:r w:rsidRPr="00670B37">
        <w:t xml:space="preserve"> </w:t>
      </w:r>
      <w:proofErr w:type="spellStart"/>
      <w:r w:rsidRPr="00670B37">
        <w:t>outside</w:t>
      </w:r>
      <w:proofErr w:type="spellEnd"/>
      <w:r w:rsidRPr="00670B37">
        <w:t xml:space="preserve"> the green line are </w:t>
      </w:r>
      <w:proofErr w:type="spellStart"/>
      <w:r w:rsidRPr="00670B37">
        <w:t>either</w:t>
      </w:r>
      <w:proofErr w:type="spellEnd"/>
      <w:r w:rsidRPr="00670B37">
        <w:t xml:space="preserve"> off the market or due to </w:t>
      </w:r>
      <w:proofErr w:type="spellStart"/>
      <w:r w:rsidRPr="00670B37">
        <w:t>kits</w:t>
      </w:r>
      <w:proofErr w:type="spellEnd"/>
      <w:r w:rsidRPr="00670B37">
        <w:t xml:space="preserve"> with </w:t>
      </w:r>
      <w:proofErr w:type="spellStart"/>
      <w:r w:rsidRPr="00670B37">
        <w:t>particular</w:t>
      </w:r>
      <w:proofErr w:type="spellEnd"/>
      <w:r w:rsidRPr="00670B37">
        <w:t xml:space="preserve"> performances (</w:t>
      </w:r>
      <w:proofErr w:type="spellStart"/>
      <w:r w:rsidRPr="00670B37">
        <w:t>apart</w:t>
      </w:r>
      <w:proofErr w:type="spellEnd"/>
      <w:r w:rsidRPr="00670B37">
        <w:t xml:space="preserve"> from the </w:t>
      </w:r>
      <w:proofErr w:type="spellStart"/>
      <w:r w:rsidRPr="00670B37">
        <w:t>storage</w:t>
      </w:r>
      <w:proofErr w:type="spellEnd"/>
      <w:r w:rsidRPr="00670B37">
        <w:t xml:space="preserve"> </w:t>
      </w:r>
      <w:proofErr w:type="spellStart"/>
      <w:r w:rsidRPr="00670B37">
        <w:t>batteries</w:t>
      </w:r>
      <w:proofErr w:type="spellEnd"/>
      <w:r w:rsidRPr="00670B37">
        <w:t xml:space="preserve"> </w:t>
      </w:r>
      <w:proofErr w:type="spellStart"/>
      <w:r w:rsidRPr="00670B37">
        <w:t>which</w:t>
      </w:r>
      <w:proofErr w:type="spellEnd"/>
      <w:r w:rsidRPr="00670B37">
        <w:t xml:space="preserve"> are </w:t>
      </w:r>
      <w:proofErr w:type="spellStart"/>
      <w:r w:rsidRPr="00670B37">
        <w:t>included</w:t>
      </w:r>
      <w:proofErr w:type="spellEnd"/>
      <w:r w:rsidRPr="00670B37">
        <w:t xml:space="preserve">). </w:t>
      </w:r>
      <w:proofErr w:type="spellStart"/>
      <w:r w:rsidRPr="00670B37">
        <w:t>Although</w:t>
      </w:r>
      <w:proofErr w:type="spellEnd"/>
      <w:r w:rsidRPr="00670B37">
        <w:t xml:space="preserve"> the </w:t>
      </w:r>
      <w:proofErr w:type="spellStart"/>
      <w:r w:rsidRPr="00670B37">
        <w:t>correlation</w:t>
      </w:r>
      <w:proofErr w:type="spellEnd"/>
      <w:r w:rsidRPr="00670B37">
        <w:t xml:space="preserve"> </w:t>
      </w:r>
      <w:proofErr w:type="spellStart"/>
      <w:r w:rsidRPr="00670B37">
        <w:t>function</w:t>
      </w:r>
      <w:proofErr w:type="spellEnd"/>
      <w:r w:rsidRPr="00670B37">
        <w:t xml:space="preserve"> </w:t>
      </w:r>
      <w:proofErr w:type="spellStart"/>
      <w:r w:rsidRPr="00670B37">
        <w:t>found</w:t>
      </w:r>
      <w:proofErr w:type="spellEnd"/>
      <w:r w:rsidRPr="00670B37">
        <w:t xml:space="preserve"> </w:t>
      </w:r>
      <w:proofErr w:type="spellStart"/>
      <w:r w:rsidRPr="00670B37">
        <w:t>appears</w:t>
      </w:r>
      <w:proofErr w:type="spellEnd"/>
      <w:r w:rsidRPr="00670B37">
        <w:t xml:space="preserve"> linear, </w:t>
      </w:r>
      <w:proofErr w:type="spellStart"/>
      <w:r w:rsidRPr="00670B37">
        <w:t>it</w:t>
      </w:r>
      <w:proofErr w:type="spellEnd"/>
      <w:r w:rsidRPr="00670B37">
        <w:t xml:space="preserve"> </w:t>
      </w:r>
      <w:proofErr w:type="spellStart"/>
      <w:r w:rsidRPr="00670B37">
        <w:t>is</w:t>
      </w:r>
      <w:proofErr w:type="spellEnd"/>
      <w:r w:rsidRPr="00670B37">
        <w:t xml:space="preserve"> in </w:t>
      </w:r>
      <w:proofErr w:type="spellStart"/>
      <w:r w:rsidRPr="00670B37">
        <w:t>fact</w:t>
      </w:r>
      <w:proofErr w:type="spellEnd"/>
      <w:r w:rsidRPr="00670B37">
        <w:t xml:space="preserve"> a </w:t>
      </w:r>
      <w:proofErr w:type="spellStart"/>
      <w:r w:rsidRPr="00670B37">
        <w:t>power</w:t>
      </w:r>
      <w:proofErr w:type="spellEnd"/>
      <w:r w:rsidRPr="00670B37">
        <w:t xml:space="preserve"> </w:t>
      </w:r>
      <w:proofErr w:type="spellStart"/>
      <w:r w:rsidRPr="00670B37">
        <w:t>function</w:t>
      </w:r>
      <w:proofErr w:type="spellEnd"/>
      <w:r w:rsidRPr="00670B37">
        <w:t xml:space="preserve"> with </w:t>
      </w:r>
      <w:proofErr w:type="spellStart"/>
      <w:r w:rsidRPr="00670B37">
        <w:t>exponent</w:t>
      </w:r>
      <w:proofErr w:type="spellEnd"/>
      <w:r w:rsidRPr="00670B37">
        <w:t xml:space="preserve"> (0.964) </w:t>
      </w:r>
      <w:proofErr w:type="spellStart"/>
      <w:r w:rsidRPr="00670B37">
        <w:t>very</w:t>
      </w:r>
      <w:proofErr w:type="spellEnd"/>
      <w:r w:rsidRPr="00670B37">
        <w:t xml:space="preserve"> </w:t>
      </w:r>
      <w:proofErr w:type="spellStart"/>
      <w:r w:rsidRPr="00670B37">
        <w:t>close</w:t>
      </w:r>
      <w:proofErr w:type="spellEnd"/>
      <w:r w:rsidRPr="00670B37">
        <w:t xml:space="preserve"> to 1. </w:t>
      </w:r>
      <w:proofErr w:type="spellStart"/>
      <w:r w:rsidRPr="00670B37">
        <w:t>This</w:t>
      </w:r>
      <w:proofErr w:type="spellEnd"/>
      <w:r w:rsidRPr="00670B37">
        <w:t xml:space="preserve"> </w:t>
      </w:r>
      <w:proofErr w:type="spellStart"/>
      <w:r w:rsidRPr="00670B37">
        <w:t>indicates</w:t>
      </w:r>
      <w:proofErr w:type="spellEnd"/>
      <w:r w:rsidRPr="00670B37">
        <w:t xml:space="preserve"> </w:t>
      </w:r>
      <w:proofErr w:type="spellStart"/>
      <w:r w:rsidRPr="00670B37">
        <w:t>that</w:t>
      </w:r>
      <w:proofErr w:type="spellEnd"/>
      <w:r w:rsidRPr="00670B37">
        <w:t xml:space="preserve">, </w:t>
      </w:r>
      <w:proofErr w:type="spellStart"/>
      <w:r w:rsidRPr="00670B37">
        <w:t>although</w:t>
      </w:r>
      <w:proofErr w:type="spellEnd"/>
      <w:r w:rsidRPr="00670B37">
        <w:t xml:space="preserve"> small, a scale </w:t>
      </w:r>
      <w:proofErr w:type="spellStart"/>
      <w:r w:rsidRPr="00670B37">
        <w:t>effect</w:t>
      </w:r>
      <w:proofErr w:type="spellEnd"/>
      <w:r w:rsidRPr="00670B37">
        <w:t xml:space="preserve"> </w:t>
      </w:r>
      <w:proofErr w:type="spellStart"/>
      <w:r w:rsidRPr="00670B37">
        <w:t>linked</w:t>
      </w:r>
      <w:proofErr w:type="spellEnd"/>
      <w:r w:rsidRPr="00670B37">
        <w:t xml:space="preserve"> to the </w:t>
      </w:r>
      <w:proofErr w:type="spellStart"/>
      <w:r w:rsidRPr="00670B37">
        <w:t>size</w:t>
      </w:r>
      <w:proofErr w:type="spellEnd"/>
      <w:r w:rsidRPr="00670B37">
        <w:t xml:space="preserve"> of the </w:t>
      </w:r>
      <w:proofErr w:type="spellStart"/>
      <w:r w:rsidRPr="00670B37">
        <w:t>plant</w:t>
      </w:r>
      <w:proofErr w:type="spellEnd"/>
      <w:r w:rsidRPr="00670B37">
        <w:t xml:space="preserve"> </w:t>
      </w:r>
      <w:proofErr w:type="spellStart"/>
      <w:r w:rsidRPr="00670B37">
        <w:t>is</w:t>
      </w:r>
      <w:proofErr w:type="spellEnd"/>
      <w:r w:rsidRPr="00670B37">
        <w:t xml:space="preserve"> </w:t>
      </w:r>
      <w:proofErr w:type="spellStart"/>
      <w:r w:rsidRPr="00670B37">
        <w:t>implied</w:t>
      </w:r>
      <w:proofErr w:type="spellEnd"/>
      <w:r w:rsidRPr="00670B37">
        <w:t xml:space="preserve">. </w:t>
      </w:r>
      <w:proofErr w:type="spellStart"/>
      <w:r w:rsidRPr="00670B37">
        <w:t>That</w:t>
      </w:r>
      <w:proofErr w:type="spellEnd"/>
      <w:r w:rsidRPr="00670B37">
        <w:t xml:space="preserve"> </w:t>
      </w:r>
      <w:proofErr w:type="spellStart"/>
      <w:r w:rsidRPr="00670B37">
        <w:t>is</w:t>
      </w:r>
      <w:proofErr w:type="spellEnd"/>
      <w:r w:rsidRPr="00670B37">
        <w:t xml:space="preserve">, the </w:t>
      </w:r>
      <w:proofErr w:type="spellStart"/>
      <w:r w:rsidRPr="00670B37">
        <w:t>higher</w:t>
      </w:r>
      <w:proofErr w:type="spellEnd"/>
      <w:r w:rsidRPr="00670B37">
        <w:t xml:space="preserve"> the </w:t>
      </w:r>
      <w:proofErr w:type="spellStart"/>
      <w:r w:rsidRPr="00670B37">
        <w:t>system</w:t>
      </w:r>
      <w:proofErr w:type="spellEnd"/>
      <w:r w:rsidRPr="00670B37">
        <w:t xml:space="preserve"> </w:t>
      </w:r>
      <w:proofErr w:type="spellStart"/>
      <w:r w:rsidRPr="00670B37">
        <w:t>power</w:t>
      </w:r>
      <w:proofErr w:type="spellEnd"/>
      <w:r w:rsidRPr="00670B37">
        <w:t xml:space="preserve">, the </w:t>
      </w:r>
      <w:proofErr w:type="spellStart"/>
      <w:r w:rsidRPr="00670B37">
        <w:t>lower</w:t>
      </w:r>
      <w:proofErr w:type="spellEnd"/>
      <w:r w:rsidRPr="00670B37">
        <w:t xml:space="preserve"> the </w:t>
      </w:r>
      <w:proofErr w:type="spellStart"/>
      <w:r w:rsidRPr="00670B37">
        <w:t>unit</w:t>
      </w:r>
      <w:proofErr w:type="spellEnd"/>
      <w:r w:rsidRPr="00670B37">
        <w:t xml:space="preserve"> </w:t>
      </w:r>
      <w:proofErr w:type="spellStart"/>
      <w:r w:rsidRPr="00670B37">
        <w:t>price</w:t>
      </w:r>
      <w:proofErr w:type="spellEnd"/>
      <w:r w:rsidRPr="00670B37">
        <w:t xml:space="preserve"> per </w:t>
      </w:r>
      <w:proofErr w:type="spellStart"/>
      <w:r w:rsidRPr="00670B37">
        <w:t>kWp</w:t>
      </w:r>
      <w:proofErr w:type="spellEnd"/>
      <w:r w:rsidRPr="00670B37">
        <w:t xml:space="preserve"> </w:t>
      </w:r>
      <w:proofErr w:type="spellStart"/>
      <w:r w:rsidRPr="00670B37">
        <w:t>installed</w:t>
      </w:r>
      <w:proofErr w:type="spellEnd"/>
      <w:r w:rsidRPr="00670B37">
        <w:t>.</w:t>
      </w:r>
    </w:p>
    <w:p w:rsidR="00670B37" w:rsidRPr="00670B37" w:rsidRDefault="00670B37" w:rsidP="00670B37">
      <w:pPr>
        <w:jc w:val="both"/>
      </w:pPr>
    </w:p>
    <w:p w:rsidR="00A018E5" w:rsidRDefault="00511D74" w:rsidP="00511D74">
      <w:pPr>
        <w:pStyle w:val="Paragrafoelenco"/>
        <w:numPr>
          <w:ilvl w:val="0"/>
          <w:numId w:val="2"/>
        </w:numPr>
        <w:rPr>
          <w:b/>
          <w:sz w:val="24"/>
          <w:szCs w:val="24"/>
          <w:u w:val="single"/>
        </w:rPr>
      </w:pPr>
      <w:r w:rsidRPr="00511D74">
        <w:rPr>
          <w:b/>
          <w:sz w:val="24"/>
          <w:szCs w:val="24"/>
          <w:u w:val="single"/>
        </w:rPr>
        <w:t xml:space="preserve">PHOTOVOLTAIC POWER SYSTEMS FOR ELECTRICITY GENERATION AND INDUSTRIAL USE </w:t>
      </w:r>
      <w:r w:rsidR="00A018E5" w:rsidRPr="0056056F">
        <w:rPr>
          <w:b/>
          <w:sz w:val="24"/>
          <w:szCs w:val="24"/>
          <w:u w:val="single"/>
        </w:rPr>
        <w:t xml:space="preserve"> </w:t>
      </w:r>
    </w:p>
    <w:p w:rsidR="0056056F" w:rsidRPr="0056056F" w:rsidRDefault="0056056F" w:rsidP="0056056F">
      <w:pPr>
        <w:pStyle w:val="Paragrafoelenco"/>
        <w:rPr>
          <w:b/>
          <w:sz w:val="24"/>
          <w:szCs w:val="24"/>
          <w:u w:val="single"/>
        </w:rPr>
      </w:pPr>
    </w:p>
    <w:p w:rsidR="001B2A6D" w:rsidRPr="0056056F" w:rsidRDefault="0040498A" w:rsidP="0040498A">
      <w:pPr>
        <w:pStyle w:val="Paragrafoelenco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0498A">
        <w:rPr>
          <w:b/>
          <w:sz w:val="24"/>
          <w:szCs w:val="24"/>
          <w:u w:val="single"/>
        </w:rPr>
        <w:t xml:space="preserve">Data </w:t>
      </w:r>
      <w:proofErr w:type="spellStart"/>
      <w:r w:rsidRPr="0040498A">
        <w:rPr>
          <w:b/>
          <w:sz w:val="24"/>
          <w:szCs w:val="24"/>
          <w:u w:val="single"/>
        </w:rPr>
        <w:t>relating</w:t>
      </w:r>
      <w:proofErr w:type="spellEnd"/>
      <w:r w:rsidRPr="0040498A">
        <w:rPr>
          <w:b/>
          <w:sz w:val="24"/>
          <w:szCs w:val="24"/>
          <w:u w:val="single"/>
        </w:rPr>
        <w:t xml:space="preserve"> to large Enel </w:t>
      </w:r>
      <w:proofErr w:type="spellStart"/>
      <w:r w:rsidRPr="0040498A">
        <w:rPr>
          <w:b/>
          <w:sz w:val="24"/>
          <w:szCs w:val="24"/>
          <w:u w:val="single"/>
        </w:rPr>
        <w:t>photovoltaic</w:t>
      </w:r>
      <w:proofErr w:type="spellEnd"/>
      <w:r w:rsidRPr="0040498A">
        <w:rPr>
          <w:b/>
          <w:sz w:val="24"/>
          <w:szCs w:val="24"/>
          <w:u w:val="single"/>
        </w:rPr>
        <w:t xml:space="preserve"> </w:t>
      </w:r>
      <w:proofErr w:type="spellStart"/>
      <w:r w:rsidRPr="0040498A">
        <w:rPr>
          <w:b/>
          <w:sz w:val="24"/>
          <w:szCs w:val="24"/>
          <w:u w:val="single"/>
        </w:rPr>
        <w:t>plants</w:t>
      </w:r>
      <w:proofErr w:type="spellEnd"/>
      <w:r w:rsidRPr="0040498A">
        <w:rPr>
          <w:b/>
          <w:sz w:val="24"/>
          <w:szCs w:val="24"/>
          <w:u w:val="single"/>
        </w:rPr>
        <w:t xml:space="preserve"> in </w:t>
      </w:r>
      <w:proofErr w:type="spellStart"/>
      <w:r w:rsidRPr="0040498A">
        <w:rPr>
          <w:b/>
          <w:sz w:val="24"/>
          <w:szCs w:val="24"/>
          <w:u w:val="single"/>
        </w:rPr>
        <w:t>Sicily</w:t>
      </w:r>
      <w:proofErr w:type="spellEnd"/>
      <w:r w:rsidR="001B2A6D" w:rsidRPr="0056056F">
        <w:rPr>
          <w:b/>
          <w:sz w:val="24"/>
          <w:szCs w:val="24"/>
          <w:u w:val="single"/>
        </w:rPr>
        <w:t>.</w:t>
      </w:r>
    </w:p>
    <w:p w:rsidR="001B2A6D" w:rsidRDefault="0040498A">
      <w:proofErr w:type="spellStart"/>
      <w:r>
        <w:t>Refer</w:t>
      </w:r>
      <w:proofErr w:type="spellEnd"/>
      <w:r>
        <w:t xml:space="preserve"> to</w:t>
      </w:r>
      <w:r w:rsidR="00825C0E">
        <w:t>:</w:t>
      </w:r>
    </w:p>
    <w:p w:rsidR="001B2A6D" w:rsidRDefault="002B17CF">
      <w:hyperlink r:id="rId11" w:history="1">
        <w:r w:rsidR="001B2A6D" w:rsidRPr="00A0185F">
          <w:rPr>
            <w:rStyle w:val="Collegamentoipertestuale"/>
          </w:rPr>
          <w:t>file:///D:/Documents/DC/Energia/Fotovoltaico_%20in%20Sicilia%20stanno%20per%20nascere%20due%20importanti%20parchi%20solari.pdf</w:t>
        </w:r>
      </w:hyperlink>
      <w:r w:rsidR="001B2A6D">
        <w:t xml:space="preserve"> </w:t>
      </w:r>
    </w:p>
    <w:p w:rsidR="001B2A6D" w:rsidRDefault="002B17CF">
      <w:hyperlink r:id="rId12" w:history="1">
        <w:r w:rsidR="001B2A6D" w:rsidRPr="00A0185F">
          <w:rPr>
            <w:rStyle w:val="Collegamentoipertestuale"/>
          </w:rPr>
          <w:t>https://va.mite.gov.it/it-IT/Oggetti/Info/8492</w:t>
        </w:r>
      </w:hyperlink>
      <w:r w:rsidR="001B2A6D">
        <w:t xml:space="preserve"> </w:t>
      </w:r>
    </w:p>
    <w:p w:rsidR="00FF43A0" w:rsidRDefault="00FF43A0" w:rsidP="0040498A">
      <w:pPr>
        <w:pStyle w:val="Paragrafoelenco"/>
        <w:numPr>
          <w:ilvl w:val="0"/>
          <w:numId w:val="3"/>
        </w:numPr>
        <w:jc w:val="both"/>
      </w:pPr>
      <w:r>
        <w:t>"</w:t>
      </w:r>
      <w:proofErr w:type="spellStart"/>
      <w:r>
        <w:t>Blusolar</w:t>
      </w:r>
      <w:proofErr w:type="spellEnd"/>
      <w:r>
        <w:t xml:space="preserve"> Augusta 1": </w:t>
      </w:r>
      <w:proofErr w:type="spellStart"/>
      <w:r w:rsidR="00825C0E">
        <w:t>total</w:t>
      </w:r>
      <w:proofErr w:type="spellEnd"/>
      <w:r w:rsidR="00825C0E">
        <w:t xml:space="preserve"> </w:t>
      </w:r>
      <w:proofErr w:type="spellStart"/>
      <w:r w:rsidR="00825C0E" w:rsidRPr="0040498A">
        <w:t>peak</w:t>
      </w:r>
      <w:proofErr w:type="spellEnd"/>
      <w:r w:rsidR="00825C0E">
        <w:t xml:space="preserve"> </w:t>
      </w:r>
      <w:proofErr w:type="spellStart"/>
      <w:r w:rsidR="00825C0E">
        <w:t>power</w:t>
      </w:r>
      <w:proofErr w:type="spellEnd"/>
      <w:r w:rsidR="00825C0E">
        <w:t xml:space="preserve"> up to </w:t>
      </w:r>
      <w:r w:rsidR="0040498A" w:rsidRPr="0040498A">
        <w:t xml:space="preserve">80 </w:t>
      </w:r>
      <w:proofErr w:type="spellStart"/>
      <w:r w:rsidR="0040498A" w:rsidRPr="0040498A">
        <w:t>megawatts</w:t>
      </w:r>
      <w:proofErr w:type="spellEnd"/>
      <w:r w:rsidR="0040498A" w:rsidRPr="0040498A">
        <w:t xml:space="preserve">, </w:t>
      </w:r>
      <w:proofErr w:type="spellStart"/>
      <w:r w:rsidR="0040498A" w:rsidRPr="0040498A">
        <w:t>nominal</w:t>
      </w:r>
      <w:proofErr w:type="spellEnd"/>
      <w:r w:rsidR="0040498A" w:rsidRPr="0040498A">
        <w:t xml:space="preserve"> DC </w:t>
      </w:r>
      <w:proofErr w:type="spellStart"/>
      <w:r w:rsidR="0040498A" w:rsidRPr="0040498A">
        <w:t>power</w:t>
      </w:r>
      <w:proofErr w:type="spellEnd"/>
      <w:r w:rsidR="0040498A" w:rsidRPr="0040498A">
        <w:t xml:space="preserve"> </w:t>
      </w:r>
      <w:proofErr w:type="spellStart"/>
      <w:r w:rsidR="0040498A" w:rsidRPr="0040498A">
        <w:t>equal</w:t>
      </w:r>
      <w:proofErr w:type="spellEnd"/>
      <w:r w:rsidR="0040498A" w:rsidRPr="0040498A">
        <w:t xml:space="preserve"> to 80.21079 </w:t>
      </w:r>
      <w:proofErr w:type="spellStart"/>
      <w:r w:rsidR="0040498A" w:rsidRPr="0040498A">
        <w:t>MWp</w:t>
      </w:r>
      <w:proofErr w:type="spellEnd"/>
      <w:r w:rsidR="0040498A" w:rsidRPr="0040498A">
        <w:t xml:space="preserve"> and AC input </w:t>
      </w:r>
      <w:proofErr w:type="spellStart"/>
      <w:r w:rsidR="0040498A" w:rsidRPr="0040498A">
        <w:t>power</w:t>
      </w:r>
      <w:proofErr w:type="spellEnd"/>
      <w:r w:rsidR="0040498A" w:rsidRPr="0040498A">
        <w:t xml:space="preserve"> </w:t>
      </w:r>
      <w:proofErr w:type="spellStart"/>
      <w:r w:rsidR="0040498A" w:rsidRPr="0040498A">
        <w:t>equal</w:t>
      </w:r>
      <w:proofErr w:type="spellEnd"/>
      <w:r w:rsidR="0040498A" w:rsidRPr="0040498A">
        <w:t xml:space="preserve"> to 60.00 MW, made up of 141,966 </w:t>
      </w:r>
      <w:proofErr w:type="spellStart"/>
      <w:r w:rsidR="0040498A" w:rsidRPr="0040498A">
        <w:t>bifacial</w:t>
      </w:r>
      <w:proofErr w:type="spellEnd"/>
      <w:r w:rsidR="0040498A" w:rsidRPr="0040498A">
        <w:t xml:space="preserve"> </w:t>
      </w:r>
      <w:proofErr w:type="spellStart"/>
      <w:r w:rsidR="0040498A" w:rsidRPr="0040498A">
        <w:t>photovoltaic</w:t>
      </w:r>
      <w:proofErr w:type="spellEnd"/>
      <w:r w:rsidR="0040498A" w:rsidRPr="0040498A">
        <w:t xml:space="preserve"> </w:t>
      </w:r>
      <w:proofErr w:type="spellStart"/>
      <w:r w:rsidR="0040498A" w:rsidRPr="0040498A">
        <w:t>modules</w:t>
      </w:r>
      <w:proofErr w:type="spellEnd"/>
      <w:r w:rsidR="0040498A" w:rsidRPr="0040498A">
        <w:t xml:space="preserve">, for a </w:t>
      </w:r>
      <w:proofErr w:type="spellStart"/>
      <w:r w:rsidR="0040498A" w:rsidRPr="0040498A">
        <w:t>total</w:t>
      </w:r>
      <w:proofErr w:type="spellEnd"/>
      <w:r w:rsidR="0040498A" w:rsidRPr="0040498A">
        <w:t xml:space="preserve"> </w:t>
      </w:r>
      <w:proofErr w:type="spellStart"/>
      <w:r w:rsidR="0040498A" w:rsidRPr="0040498A">
        <w:t>investment</w:t>
      </w:r>
      <w:proofErr w:type="spellEnd"/>
      <w:r w:rsidR="0040498A" w:rsidRPr="0040498A">
        <w:t xml:space="preserve"> of </w:t>
      </w:r>
      <w:proofErr w:type="spellStart"/>
      <w:r w:rsidR="0040498A" w:rsidRPr="0040498A">
        <w:t>approximately</w:t>
      </w:r>
      <w:proofErr w:type="spellEnd"/>
      <w:r w:rsidR="0040498A" w:rsidRPr="0040498A">
        <w:t xml:space="preserve"> 60 </w:t>
      </w:r>
      <w:proofErr w:type="spellStart"/>
      <w:r w:rsidR="0040498A" w:rsidRPr="0040498A">
        <w:t>million</w:t>
      </w:r>
      <w:proofErr w:type="spellEnd"/>
      <w:r w:rsidR="0040498A" w:rsidRPr="0040498A">
        <w:t xml:space="preserve"> </w:t>
      </w:r>
      <w:proofErr w:type="spellStart"/>
      <w:r w:rsidR="0040498A" w:rsidRPr="0040498A">
        <w:t>euros</w:t>
      </w:r>
      <w:proofErr w:type="spellEnd"/>
      <w:r w:rsidR="0040498A" w:rsidRPr="0040498A">
        <w:t xml:space="preserve">. The </w:t>
      </w:r>
      <w:proofErr w:type="spellStart"/>
      <w:r w:rsidR="0040498A" w:rsidRPr="0040498A">
        <w:t>estimated</w:t>
      </w:r>
      <w:proofErr w:type="spellEnd"/>
      <w:r w:rsidR="0040498A" w:rsidRPr="0040498A">
        <w:t xml:space="preserve"> </w:t>
      </w:r>
      <w:proofErr w:type="spellStart"/>
      <w:r w:rsidR="0040498A" w:rsidRPr="0040498A">
        <w:t>producibility</w:t>
      </w:r>
      <w:proofErr w:type="spellEnd"/>
      <w:r w:rsidR="0040498A" w:rsidRPr="0040498A">
        <w:t xml:space="preserve"> of the </w:t>
      </w:r>
      <w:proofErr w:type="spellStart"/>
      <w:r w:rsidR="0040498A" w:rsidRPr="0040498A">
        <w:t>photovoltaic</w:t>
      </w:r>
      <w:proofErr w:type="spellEnd"/>
      <w:r w:rsidR="0040498A" w:rsidRPr="0040498A">
        <w:t xml:space="preserve"> </w:t>
      </w:r>
      <w:proofErr w:type="spellStart"/>
      <w:r w:rsidR="0040498A" w:rsidRPr="0040498A">
        <w:t>system</w:t>
      </w:r>
      <w:proofErr w:type="spellEnd"/>
      <w:r w:rsidR="0040498A" w:rsidRPr="0040498A">
        <w:t xml:space="preserve"> </w:t>
      </w:r>
      <w:proofErr w:type="spellStart"/>
      <w:r w:rsidR="0040498A" w:rsidRPr="0040498A">
        <w:t>is</w:t>
      </w:r>
      <w:proofErr w:type="spellEnd"/>
      <w:r w:rsidR="0040498A" w:rsidRPr="0040498A">
        <w:t xml:space="preserve"> </w:t>
      </w:r>
      <w:proofErr w:type="spellStart"/>
      <w:r w:rsidR="0040498A" w:rsidRPr="0040498A">
        <w:t>equal</w:t>
      </w:r>
      <w:proofErr w:type="spellEnd"/>
      <w:r w:rsidR="0040498A" w:rsidRPr="0040498A">
        <w:t xml:space="preserve"> to 155,711 MWh/</w:t>
      </w:r>
      <w:proofErr w:type="spellStart"/>
      <w:r w:rsidR="0040498A" w:rsidRPr="0040498A">
        <w:t>year</w:t>
      </w:r>
      <w:proofErr w:type="spellEnd"/>
      <w:r>
        <w:t xml:space="preserve">. </w:t>
      </w:r>
    </w:p>
    <w:p w:rsidR="00FF43A0" w:rsidRDefault="00FF43A0" w:rsidP="00514BA3">
      <w:pPr>
        <w:pStyle w:val="Paragrafoelenco"/>
        <w:numPr>
          <w:ilvl w:val="0"/>
          <w:numId w:val="3"/>
        </w:numPr>
        <w:jc w:val="both"/>
      </w:pPr>
      <w:r>
        <w:t>"</w:t>
      </w:r>
      <w:proofErr w:type="spellStart"/>
      <w:r>
        <w:t>Blusolar</w:t>
      </w:r>
      <w:proofErr w:type="spellEnd"/>
      <w:r>
        <w:t xml:space="preserve"> Augusta 2", </w:t>
      </w:r>
      <w:r w:rsidR="00514BA3" w:rsidRPr="00514BA3">
        <w:t xml:space="preserve">to be </w:t>
      </w:r>
      <w:proofErr w:type="spellStart"/>
      <w:r w:rsidR="00514BA3" w:rsidRPr="00514BA3">
        <w:t>built</w:t>
      </w:r>
      <w:proofErr w:type="spellEnd"/>
      <w:r w:rsidR="00514BA3" w:rsidRPr="00514BA3">
        <w:t xml:space="preserve"> in the Ogliastro </w:t>
      </w:r>
      <w:proofErr w:type="spellStart"/>
      <w:r w:rsidR="00514BA3" w:rsidRPr="00514BA3">
        <w:t>district</w:t>
      </w:r>
      <w:proofErr w:type="spellEnd"/>
      <w:r w:rsidR="00514BA3" w:rsidRPr="00514BA3">
        <w:t xml:space="preserve">, to the west and </w:t>
      </w:r>
      <w:proofErr w:type="spellStart"/>
      <w:r w:rsidR="00514BA3" w:rsidRPr="00514BA3">
        <w:t>south</w:t>
      </w:r>
      <w:proofErr w:type="spellEnd"/>
      <w:r w:rsidR="00514BA3" w:rsidRPr="00514BA3">
        <w:t xml:space="preserve"> of the </w:t>
      </w:r>
      <w:proofErr w:type="spellStart"/>
      <w:r w:rsidR="00514BA3" w:rsidRPr="00514BA3">
        <w:t>basin</w:t>
      </w:r>
      <w:proofErr w:type="spellEnd"/>
      <w:r w:rsidR="00514BA3" w:rsidRPr="00514BA3">
        <w:t xml:space="preserve"> of the </w:t>
      </w:r>
      <w:proofErr w:type="spellStart"/>
      <w:r w:rsidR="00514BA3" w:rsidRPr="00514BA3">
        <w:t>same</w:t>
      </w:r>
      <w:proofErr w:type="spellEnd"/>
      <w:r w:rsidR="00514BA3" w:rsidRPr="00514BA3">
        <w:t xml:space="preserve"> </w:t>
      </w:r>
      <w:proofErr w:type="spellStart"/>
      <w:r w:rsidR="00514BA3" w:rsidRPr="00514BA3">
        <w:t>name</w:t>
      </w:r>
      <w:proofErr w:type="spellEnd"/>
      <w:r w:rsidR="00514BA3" w:rsidRPr="00514BA3">
        <w:t xml:space="preserve">, </w:t>
      </w:r>
      <w:proofErr w:type="spellStart"/>
      <w:r w:rsidR="00514BA3" w:rsidRPr="00514BA3">
        <w:t>near</w:t>
      </w:r>
      <w:proofErr w:type="spellEnd"/>
      <w:r w:rsidR="00514BA3" w:rsidRPr="00514BA3">
        <w:t xml:space="preserve"> the "Pista del sole", </w:t>
      </w:r>
      <w:proofErr w:type="spellStart"/>
      <w:r w:rsidR="00514BA3" w:rsidRPr="00514BA3">
        <w:t>between</w:t>
      </w:r>
      <w:proofErr w:type="spellEnd"/>
      <w:r w:rsidR="00514BA3" w:rsidRPr="00514BA3">
        <w:t xml:space="preserve"> the </w:t>
      </w:r>
      <w:proofErr w:type="spellStart"/>
      <w:r w:rsidR="00514BA3" w:rsidRPr="00514BA3">
        <w:t>territories</w:t>
      </w:r>
      <w:proofErr w:type="spellEnd"/>
      <w:r w:rsidR="00514BA3" w:rsidRPr="00514BA3">
        <w:t xml:space="preserve"> of Augusta and Villasmundo (</w:t>
      </w:r>
      <w:proofErr w:type="spellStart"/>
      <w:r w:rsidR="00514BA3" w:rsidRPr="00514BA3">
        <w:t>fraction</w:t>
      </w:r>
      <w:proofErr w:type="spellEnd"/>
      <w:r w:rsidR="00514BA3" w:rsidRPr="00514BA3">
        <w:t xml:space="preserve"> of Melilli). </w:t>
      </w:r>
      <w:proofErr w:type="spellStart"/>
      <w:r w:rsidR="00514BA3" w:rsidRPr="00514BA3">
        <w:t>peak</w:t>
      </w:r>
      <w:proofErr w:type="spellEnd"/>
      <w:r w:rsidR="00514BA3" w:rsidRPr="00514BA3">
        <w:t xml:space="preserve"> </w:t>
      </w:r>
      <w:proofErr w:type="spellStart"/>
      <w:r w:rsidR="00514BA3" w:rsidRPr="00514BA3">
        <w:t>power</w:t>
      </w:r>
      <w:proofErr w:type="spellEnd"/>
      <w:r w:rsidR="00514BA3" w:rsidRPr="00514BA3">
        <w:t xml:space="preserve"> </w:t>
      </w:r>
      <w:proofErr w:type="spellStart"/>
      <w:r w:rsidR="00514BA3" w:rsidRPr="00514BA3">
        <w:t>equal</w:t>
      </w:r>
      <w:proofErr w:type="spellEnd"/>
      <w:r w:rsidR="00514BA3" w:rsidRPr="00514BA3">
        <w:t xml:space="preserve"> to 34.6175 </w:t>
      </w:r>
      <w:proofErr w:type="spellStart"/>
      <w:r w:rsidR="00514BA3" w:rsidRPr="00514BA3">
        <w:t>MWp</w:t>
      </w:r>
      <w:proofErr w:type="spellEnd"/>
      <w:r w:rsidR="00514BA3" w:rsidRPr="00514BA3">
        <w:t xml:space="preserve"> </w:t>
      </w:r>
      <w:proofErr w:type="spellStart"/>
      <w:r w:rsidR="00514BA3" w:rsidRPr="00514BA3">
        <w:t>integrated</w:t>
      </w:r>
      <w:proofErr w:type="spellEnd"/>
      <w:r w:rsidR="00514BA3" w:rsidRPr="00514BA3">
        <w:t xml:space="preserve"> with a 10 MW AC </w:t>
      </w:r>
      <w:proofErr w:type="spellStart"/>
      <w:r w:rsidR="00514BA3" w:rsidRPr="00514BA3">
        <w:t>storage</w:t>
      </w:r>
      <w:proofErr w:type="spellEnd"/>
      <w:r w:rsidR="00514BA3" w:rsidRPr="00514BA3">
        <w:t xml:space="preserve"> </w:t>
      </w:r>
      <w:proofErr w:type="spellStart"/>
      <w:r w:rsidR="00514BA3" w:rsidRPr="00514BA3">
        <w:t>system</w:t>
      </w:r>
      <w:proofErr w:type="spellEnd"/>
      <w:r w:rsidR="00514BA3" w:rsidRPr="00514BA3">
        <w:t xml:space="preserve">. Total </w:t>
      </w:r>
      <w:proofErr w:type="spellStart"/>
      <w:r w:rsidR="00514BA3" w:rsidRPr="00514BA3">
        <w:t>cost</w:t>
      </w:r>
      <w:proofErr w:type="spellEnd"/>
      <w:r w:rsidR="00514BA3" w:rsidRPr="00514BA3">
        <w:t xml:space="preserve"> from </w:t>
      </w:r>
      <w:proofErr w:type="spellStart"/>
      <w:r w:rsidR="00514BA3" w:rsidRPr="00514BA3">
        <w:t>metric</w:t>
      </w:r>
      <w:proofErr w:type="spellEnd"/>
      <w:r w:rsidR="00514BA3" w:rsidRPr="00514BA3">
        <w:t xml:space="preserve"> </w:t>
      </w:r>
      <w:proofErr w:type="spellStart"/>
      <w:r w:rsidR="00514BA3" w:rsidRPr="00514BA3">
        <w:t>calculation</w:t>
      </w:r>
      <w:proofErr w:type="spellEnd"/>
      <w:r w:rsidR="00514BA3" w:rsidRPr="00514BA3">
        <w:t xml:space="preserve"> 28.3 </w:t>
      </w:r>
      <w:proofErr w:type="spellStart"/>
      <w:r w:rsidR="00514BA3" w:rsidRPr="00514BA3">
        <w:t>MEuros</w:t>
      </w:r>
      <w:proofErr w:type="spellEnd"/>
      <w:r w:rsidR="00514BA3" w:rsidRPr="00514BA3">
        <w:t xml:space="preserve">, </w:t>
      </w:r>
      <w:proofErr w:type="spellStart"/>
      <w:r w:rsidR="00514BA3" w:rsidRPr="00514BA3">
        <w:t>rounded</w:t>
      </w:r>
      <w:proofErr w:type="spellEnd"/>
      <w:r w:rsidR="00514BA3" w:rsidRPr="00514BA3">
        <w:t xml:space="preserve"> to 30 for security and </w:t>
      </w:r>
      <w:proofErr w:type="spellStart"/>
      <w:r w:rsidR="00514BA3" w:rsidRPr="00514BA3">
        <w:t>other</w:t>
      </w:r>
      <w:proofErr w:type="spellEnd"/>
      <w:r w:rsidR="00514BA3" w:rsidRPr="00514BA3">
        <w:t xml:space="preserve"> </w:t>
      </w:r>
      <w:proofErr w:type="spellStart"/>
      <w:r w:rsidR="00514BA3" w:rsidRPr="00514BA3">
        <w:t>charges</w:t>
      </w:r>
      <w:proofErr w:type="spellEnd"/>
      <w:r w:rsidR="00364FDA">
        <w:t>.</w:t>
      </w:r>
    </w:p>
    <w:p w:rsidR="00A2100D" w:rsidRPr="00A2100D" w:rsidRDefault="00A2100D" w:rsidP="00A2100D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A2100D">
        <w:t xml:space="preserve">A </w:t>
      </w:r>
      <w:proofErr w:type="spellStart"/>
      <w:r w:rsidRPr="00A2100D">
        <w:t>subsequent</w:t>
      </w:r>
      <w:proofErr w:type="spellEnd"/>
      <w:r w:rsidRPr="00A2100D">
        <w:t xml:space="preserve"> solar park, </w:t>
      </w:r>
      <w:proofErr w:type="spellStart"/>
      <w:r w:rsidRPr="00A2100D">
        <w:t>therefore</w:t>
      </w:r>
      <w:proofErr w:type="spellEnd"/>
      <w:r w:rsidRPr="00A2100D">
        <w:t xml:space="preserve">, </w:t>
      </w:r>
      <w:proofErr w:type="spellStart"/>
      <w:r w:rsidRPr="00A2100D">
        <w:t>located</w:t>
      </w:r>
      <w:proofErr w:type="spellEnd"/>
      <w:r w:rsidRPr="00A2100D">
        <w:t xml:space="preserve"> </w:t>
      </w:r>
      <w:proofErr w:type="spellStart"/>
      <w:r w:rsidRPr="00A2100D">
        <w:t>north</w:t>
      </w:r>
      <w:proofErr w:type="spellEnd"/>
      <w:r w:rsidRPr="00A2100D">
        <w:t xml:space="preserve">-west of the </w:t>
      </w:r>
      <w:proofErr w:type="spellStart"/>
      <w:r w:rsidRPr="00A2100D">
        <w:t>one</w:t>
      </w:r>
      <w:proofErr w:type="spellEnd"/>
      <w:r w:rsidRPr="00A2100D">
        <w:t xml:space="preserve"> under </w:t>
      </w:r>
      <w:proofErr w:type="spellStart"/>
      <w:r w:rsidRPr="00A2100D">
        <w:t>construction</w:t>
      </w:r>
      <w:proofErr w:type="spellEnd"/>
      <w:r w:rsidRPr="00A2100D">
        <w:t xml:space="preserve">, </w:t>
      </w:r>
      <w:proofErr w:type="spellStart"/>
      <w:r w:rsidRPr="00A2100D">
        <w:t>which</w:t>
      </w:r>
      <w:proofErr w:type="spellEnd"/>
      <w:r w:rsidRPr="00A2100D">
        <w:t xml:space="preserve"> </w:t>
      </w:r>
      <w:proofErr w:type="spellStart"/>
      <w:r w:rsidRPr="00A2100D">
        <w:t>will</w:t>
      </w:r>
      <w:proofErr w:type="spellEnd"/>
      <w:r w:rsidRPr="00A2100D">
        <w:t xml:space="preserve"> </w:t>
      </w:r>
      <w:proofErr w:type="spellStart"/>
      <w:r w:rsidRPr="00A2100D">
        <w:t>boast</w:t>
      </w:r>
      <w:proofErr w:type="spellEnd"/>
      <w:r w:rsidRPr="00A2100D">
        <w:t xml:space="preserve"> 56,750 </w:t>
      </w:r>
      <w:proofErr w:type="spellStart"/>
      <w:r w:rsidRPr="00A2100D">
        <w:t>photovoltaic</w:t>
      </w:r>
      <w:proofErr w:type="spellEnd"/>
      <w:r w:rsidRPr="00A2100D">
        <w:t xml:space="preserve"> </w:t>
      </w:r>
      <w:proofErr w:type="spellStart"/>
      <w:r w:rsidRPr="00A2100D">
        <w:t>modules</w:t>
      </w:r>
      <w:proofErr w:type="spellEnd"/>
      <w:r w:rsidRPr="00A2100D">
        <w:t xml:space="preserve"> for a </w:t>
      </w:r>
      <w:proofErr w:type="spellStart"/>
      <w:r w:rsidRPr="00A2100D">
        <w:t>value</w:t>
      </w:r>
      <w:proofErr w:type="spellEnd"/>
      <w:r w:rsidRPr="00A2100D">
        <w:t xml:space="preserve">, from the general </w:t>
      </w:r>
      <w:proofErr w:type="spellStart"/>
      <w:r w:rsidRPr="00A2100D">
        <w:t>economic</w:t>
      </w:r>
      <w:proofErr w:type="spellEnd"/>
      <w:r w:rsidRPr="00A2100D">
        <w:t xml:space="preserve"> </w:t>
      </w:r>
      <w:proofErr w:type="spellStart"/>
      <w:r w:rsidRPr="00A2100D">
        <w:t>framework</w:t>
      </w:r>
      <w:proofErr w:type="spellEnd"/>
      <w:r w:rsidRPr="00A2100D">
        <w:t xml:space="preserve">, of </w:t>
      </w:r>
      <w:proofErr w:type="spellStart"/>
      <w:r w:rsidRPr="00A2100D">
        <w:t>approximately</w:t>
      </w:r>
      <w:proofErr w:type="spellEnd"/>
      <w:r w:rsidRPr="00A2100D">
        <w:t xml:space="preserve"> 33 </w:t>
      </w:r>
      <w:proofErr w:type="spellStart"/>
      <w:r w:rsidRPr="00A2100D">
        <w:t>million</w:t>
      </w:r>
      <w:proofErr w:type="spellEnd"/>
      <w:r w:rsidRPr="00A2100D">
        <w:t xml:space="preserve"> </w:t>
      </w:r>
      <w:proofErr w:type="spellStart"/>
      <w:r w:rsidRPr="00A2100D">
        <w:t>euros</w:t>
      </w:r>
      <w:proofErr w:type="spellEnd"/>
      <w:r w:rsidRPr="00A2100D">
        <w:t xml:space="preserve">, </w:t>
      </w:r>
      <w:proofErr w:type="spellStart"/>
      <w:r w:rsidRPr="00A2100D">
        <w:t>producing</w:t>
      </w:r>
      <w:proofErr w:type="spellEnd"/>
      <w:r w:rsidRPr="00A2100D">
        <w:t xml:space="preserve"> </w:t>
      </w:r>
      <w:proofErr w:type="spellStart"/>
      <w:r w:rsidRPr="00A2100D">
        <w:t>electricity</w:t>
      </w:r>
      <w:proofErr w:type="spellEnd"/>
      <w:r w:rsidRPr="00A2100D">
        <w:t xml:space="preserve"> for 65,246 </w:t>
      </w:r>
      <w:proofErr w:type="spellStart"/>
      <w:r w:rsidRPr="00A2100D">
        <w:t>million</w:t>
      </w:r>
      <w:proofErr w:type="spellEnd"/>
      <w:r w:rsidRPr="00A2100D">
        <w:t xml:space="preserve"> </w:t>
      </w:r>
      <w:proofErr w:type="spellStart"/>
      <w:r w:rsidRPr="00A2100D">
        <w:t>when</w:t>
      </w:r>
      <w:proofErr w:type="spellEnd"/>
      <w:r w:rsidRPr="00A2100D">
        <w:t xml:space="preserve"> </w:t>
      </w:r>
      <w:proofErr w:type="spellStart"/>
      <w:r w:rsidRPr="00A2100D">
        <w:t>fully</w:t>
      </w:r>
      <w:proofErr w:type="spellEnd"/>
      <w:r w:rsidRPr="00A2100D">
        <w:t xml:space="preserve"> </w:t>
      </w:r>
      <w:proofErr w:type="spellStart"/>
      <w:r w:rsidRPr="00A2100D">
        <w:t>operational</w:t>
      </w:r>
      <w:proofErr w:type="spellEnd"/>
      <w:r w:rsidRPr="00A2100D">
        <w:t xml:space="preserve"> MWh/</w:t>
      </w:r>
      <w:proofErr w:type="spellStart"/>
      <w:r w:rsidRPr="00A2100D">
        <w:t>year</w:t>
      </w:r>
      <w:proofErr w:type="spellEnd"/>
      <w:r w:rsidRPr="00A2100D">
        <w:t xml:space="preserve"> (</w:t>
      </w:r>
      <w:proofErr w:type="spellStart"/>
      <w:r w:rsidRPr="00A2100D">
        <w:t>about</w:t>
      </w:r>
      <w:proofErr w:type="spellEnd"/>
      <w:r w:rsidRPr="00A2100D">
        <w:t xml:space="preserve"> 32 MW?)</w:t>
      </w:r>
      <w:r>
        <w:t>.</w:t>
      </w:r>
    </w:p>
    <w:p w:rsidR="00111046" w:rsidRPr="007A6AFE" w:rsidRDefault="00074740" w:rsidP="00A2100D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>
        <w:br w:type="textWrapping" w:clear="all"/>
      </w:r>
    </w:p>
    <w:p w:rsidR="00E7511C" w:rsidRPr="00256763" w:rsidRDefault="00BE5D3B" w:rsidP="00256763">
      <w:pPr>
        <w:pStyle w:val="Paragrafoelenco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Data from </w:t>
      </w:r>
      <w:proofErr w:type="spellStart"/>
      <w:r w:rsidR="00647904" w:rsidRPr="00256763">
        <w:rPr>
          <w:b/>
          <w:sz w:val="36"/>
          <w:szCs w:val="36"/>
          <w:u w:val="single"/>
        </w:rPr>
        <w:t>eia</w:t>
      </w:r>
      <w:proofErr w:type="spellEnd"/>
      <w:r w:rsidR="00647904" w:rsidRPr="00256763">
        <w:rPr>
          <w:b/>
          <w:sz w:val="24"/>
          <w:szCs w:val="24"/>
          <w:u w:val="single"/>
        </w:rPr>
        <w:t xml:space="preserve"> (US Energy Information Administration)</w:t>
      </w:r>
    </w:p>
    <w:p w:rsidR="00BE5D3B" w:rsidRDefault="00BE5D3B" w:rsidP="00FF43A0">
      <w:r w:rsidRPr="00BE5D3B">
        <w:t xml:space="preserve">In 2023, from </w:t>
      </w:r>
      <w:proofErr w:type="spellStart"/>
      <w:r w:rsidRPr="00BE5D3B">
        <w:rPr>
          <w:sz w:val="36"/>
          <w:szCs w:val="36"/>
        </w:rPr>
        <w:t>eia</w:t>
      </w:r>
      <w:proofErr w:type="spellEnd"/>
      <w:r w:rsidRPr="00BE5D3B">
        <w:t xml:space="preserve"> (US Energy Information Administration) data, </w:t>
      </w:r>
      <w:proofErr w:type="spellStart"/>
      <w:r w:rsidRPr="00BE5D3B">
        <w:t>it</w:t>
      </w:r>
      <w:proofErr w:type="spellEnd"/>
      <w:r w:rsidRPr="00BE5D3B">
        <w:t xml:space="preserve"> </w:t>
      </w:r>
      <w:proofErr w:type="spellStart"/>
      <w:r w:rsidRPr="00BE5D3B">
        <w:t>is</w:t>
      </w:r>
      <w:proofErr w:type="spellEnd"/>
      <w:r w:rsidRPr="00BE5D3B">
        <w:t xml:space="preserve"> </w:t>
      </w:r>
      <w:proofErr w:type="spellStart"/>
      <w:r w:rsidRPr="00BE5D3B">
        <w:t>noted</w:t>
      </w:r>
      <w:proofErr w:type="spellEnd"/>
      <w:r w:rsidRPr="00BE5D3B">
        <w:t xml:space="preserve"> </w:t>
      </w:r>
      <w:proofErr w:type="spellStart"/>
      <w:r w:rsidRPr="00BE5D3B">
        <w:t>that</w:t>
      </w:r>
      <w:proofErr w:type="spellEnd"/>
      <w:r w:rsidRPr="00BE5D3B">
        <w:t xml:space="preserve"> the </w:t>
      </w:r>
      <w:proofErr w:type="spellStart"/>
      <w:r w:rsidRPr="00BE5D3B">
        <w:t>investment</w:t>
      </w:r>
      <w:proofErr w:type="spellEnd"/>
      <w:r w:rsidRPr="00BE5D3B">
        <w:t xml:space="preserve"> for a 150 MW </w:t>
      </w:r>
      <w:proofErr w:type="spellStart"/>
      <w:r w:rsidRPr="00BE5D3B">
        <w:t>photovoltaic</w:t>
      </w:r>
      <w:proofErr w:type="spellEnd"/>
      <w:r w:rsidRPr="00BE5D3B">
        <w:t xml:space="preserve"> solar </w:t>
      </w:r>
      <w:proofErr w:type="spellStart"/>
      <w:r w:rsidRPr="00BE5D3B">
        <w:t>system</w:t>
      </w:r>
      <w:proofErr w:type="spellEnd"/>
      <w:r w:rsidRPr="00BE5D3B">
        <w:t xml:space="preserve"> with </w:t>
      </w:r>
      <w:proofErr w:type="spellStart"/>
      <w:r w:rsidRPr="00BE5D3B">
        <w:t>storage</w:t>
      </w:r>
      <w:proofErr w:type="spellEnd"/>
      <w:r w:rsidRPr="00BE5D3B">
        <w:t xml:space="preserve"> </w:t>
      </w:r>
      <w:proofErr w:type="spellStart"/>
      <w:r w:rsidRPr="00BE5D3B">
        <w:t>has</w:t>
      </w:r>
      <w:proofErr w:type="spellEnd"/>
      <w:r w:rsidRPr="00BE5D3B">
        <w:t xml:space="preserve"> an </w:t>
      </w:r>
      <w:proofErr w:type="spellStart"/>
      <w:r w:rsidRPr="00BE5D3B">
        <w:t>average</w:t>
      </w:r>
      <w:proofErr w:type="spellEnd"/>
      <w:r w:rsidRPr="00BE5D3B">
        <w:t xml:space="preserve"> </w:t>
      </w:r>
      <w:proofErr w:type="spellStart"/>
      <w:r w:rsidRPr="00BE5D3B">
        <w:t>unit</w:t>
      </w:r>
      <w:proofErr w:type="spellEnd"/>
      <w:r w:rsidRPr="00BE5D3B">
        <w:t xml:space="preserve"> </w:t>
      </w:r>
      <w:proofErr w:type="spellStart"/>
      <w:r w:rsidRPr="00BE5D3B">
        <w:t>cost</w:t>
      </w:r>
      <w:proofErr w:type="spellEnd"/>
      <w:r w:rsidRPr="00BE5D3B">
        <w:t xml:space="preserve"> (per MW) of 1748 USD2021/kW, a zero </w:t>
      </w:r>
      <w:proofErr w:type="spellStart"/>
      <w:r w:rsidRPr="00BE5D3B">
        <w:t>variable</w:t>
      </w:r>
      <w:proofErr w:type="spellEnd"/>
      <w:r w:rsidRPr="00BE5D3B">
        <w:t xml:space="preserve"> </w:t>
      </w:r>
      <w:proofErr w:type="spellStart"/>
      <w:r w:rsidRPr="00BE5D3B">
        <w:t>cost</w:t>
      </w:r>
      <w:proofErr w:type="spellEnd"/>
      <w:r w:rsidRPr="00BE5D3B">
        <w:t xml:space="preserve"> for O&amp;M and an </w:t>
      </w:r>
      <w:proofErr w:type="spellStart"/>
      <w:r w:rsidRPr="00BE5D3B">
        <w:t>annual</w:t>
      </w:r>
      <w:proofErr w:type="spellEnd"/>
      <w:r w:rsidRPr="00BE5D3B">
        <w:t xml:space="preserve"> </w:t>
      </w:r>
      <w:proofErr w:type="spellStart"/>
      <w:r w:rsidRPr="00BE5D3B">
        <w:t>fixed</w:t>
      </w:r>
      <w:proofErr w:type="spellEnd"/>
      <w:r w:rsidRPr="00BE5D3B">
        <w:t xml:space="preserve"> </w:t>
      </w:r>
      <w:proofErr w:type="spellStart"/>
      <w:r w:rsidRPr="00BE5D3B">
        <w:t>cost</w:t>
      </w:r>
      <w:proofErr w:type="spellEnd"/>
      <w:r w:rsidRPr="00BE5D3B">
        <w:t xml:space="preserve"> for O&amp;M of 33.67 USD2021 /kW. </w:t>
      </w:r>
      <w:proofErr w:type="spellStart"/>
      <w:r w:rsidRPr="00BE5D3B">
        <w:t>Having</w:t>
      </w:r>
      <w:proofErr w:type="spellEnd"/>
      <w:r w:rsidRPr="00BE5D3B">
        <w:t xml:space="preserve"> set an </w:t>
      </w:r>
      <w:proofErr w:type="spellStart"/>
      <w:r w:rsidRPr="00BE5D3B">
        <w:t>average</w:t>
      </w:r>
      <w:proofErr w:type="spellEnd"/>
      <w:r w:rsidRPr="00BE5D3B">
        <w:t xml:space="preserve"> </w:t>
      </w:r>
      <w:proofErr w:type="spellStart"/>
      <w:r w:rsidRPr="00BE5D3B">
        <w:t>annual</w:t>
      </w:r>
      <w:proofErr w:type="spellEnd"/>
      <w:r w:rsidRPr="00BE5D3B">
        <w:t xml:space="preserve"> </w:t>
      </w:r>
      <w:proofErr w:type="spellStart"/>
      <w:r w:rsidRPr="00BE5D3B">
        <w:t>inflation</w:t>
      </w:r>
      <w:proofErr w:type="spellEnd"/>
      <w:r w:rsidRPr="00BE5D3B">
        <w:t xml:space="preserve"> rate from 2021 to 2023, the overnight </w:t>
      </w:r>
      <w:proofErr w:type="spellStart"/>
      <w:r w:rsidRPr="00BE5D3B">
        <w:t>investment</w:t>
      </w:r>
      <w:proofErr w:type="spellEnd"/>
      <w:r w:rsidRPr="00BE5D3B">
        <w:t xml:space="preserve"> </w:t>
      </w:r>
      <w:proofErr w:type="spellStart"/>
      <w:r w:rsidRPr="00BE5D3B">
        <w:t>cost</w:t>
      </w:r>
      <w:proofErr w:type="spellEnd"/>
      <w:r w:rsidRPr="00BE5D3B">
        <w:t xml:space="preserve"> (</w:t>
      </w:r>
      <w:proofErr w:type="spellStart"/>
      <w:r w:rsidRPr="00BE5D3B">
        <w:t>without</w:t>
      </w:r>
      <w:proofErr w:type="spellEnd"/>
      <w:r w:rsidRPr="00BE5D3B">
        <w:t xml:space="preserve"> </w:t>
      </w:r>
      <w:proofErr w:type="spellStart"/>
      <w:r w:rsidRPr="00BE5D3B">
        <w:t>financial</w:t>
      </w:r>
      <w:proofErr w:type="spellEnd"/>
      <w:r w:rsidRPr="00BE5D3B">
        <w:t xml:space="preserve"> </w:t>
      </w:r>
      <w:proofErr w:type="spellStart"/>
      <w:r w:rsidRPr="00BE5D3B">
        <w:t>charges</w:t>
      </w:r>
      <w:proofErr w:type="spellEnd"/>
      <w:r w:rsidRPr="00BE5D3B">
        <w:t xml:space="preserve">) </w:t>
      </w:r>
      <w:proofErr w:type="spellStart"/>
      <w:r w:rsidRPr="00BE5D3B">
        <w:t>is</w:t>
      </w:r>
      <w:proofErr w:type="spellEnd"/>
      <w:r w:rsidRPr="00BE5D3B">
        <w:t xml:space="preserve"> </w:t>
      </w:r>
      <w:proofErr w:type="spellStart"/>
      <w:r w:rsidRPr="00BE5D3B">
        <w:t>therefore</w:t>
      </w:r>
      <w:proofErr w:type="spellEnd"/>
      <w:r w:rsidRPr="00BE5D3B">
        <w:t xml:space="preserve"> (150000 kW x 1748 USD2021/kW x 1.032) = 278 MUSD2023. </w:t>
      </w:r>
      <w:proofErr w:type="spellStart"/>
      <w:r w:rsidRPr="00BE5D3B">
        <w:t>Assuming</w:t>
      </w:r>
      <w:proofErr w:type="spellEnd"/>
      <w:r w:rsidRPr="00BE5D3B">
        <w:t xml:space="preserve"> an </w:t>
      </w:r>
      <w:proofErr w:type="spellStart"/>
      <w:r w:rsidRPr="00BE5D3B">
        <w:t>exchange</w:t>
      </w:r>
      <w:proofErr w:type="spellEnd"/>
      <w:r w:rsidRPr="00BE5D3B">
        <w:t xml:space="preserve"> rate of 1 to 0.89 </w:t>
      </w:r>
      <w:proofErr w:type="spellStart"/>
      <w:r w:rsidRPr="00BE5D3B">
        <w:t>between</w:t>
      </w:r>
      <w:proofErr w:type="spellEnd"/>
      <w:r w:rsidRPr="00BE5D3B">
        <w:t xml:space="preserve"> the </w:t>
      </w:r>
      <w:proofErr w:type="spellStart"/>
      <w:r w:rsidRPr="00BE5D3B">
        <w:t>dollar</w:t>
      </w:r>
      <w:proofErr w:type="spellEnd"/>
      <w:r w:rsidRPr="00BE5D3B">
        <w:t xml:space="preserve"> and the euro, </w:t>
      </w:r>
      <w:proofErr w:type="spellStart"/>
      <w:r w:rsidRPr="00BE5D3B">
        <w:t>we</w:t>
      </w:r>
      <w:proofErr w:type="spellEnd"/>
      <w:r w:rsidRPr="00BE5D3B">
        <w:t xml:space="preserve"> </w:t>
      </w:r>
      <w:proofErr w:type="spellStart"/>
      <w:r w:rsidRPr="00BE5D3B">
        <w:t>have</w:t>
      </w:r>
      <w:proofErr w:type="spellEnd"/>
      <w:r w:rsidRPr="00BE5D3B">
        <w:t xml:space="preserve"> 278 MUSD2023/0.89 = 312 </w:t>
      </w:r>
      <w:proofErr w:type="spellStart"/>
      <w:r w:rsidRPr="00BE5D3B">
        <w:t>MEuro</w:t>
      </w:r>
      <w:proofErr w:type="spellEnd"/>
      <w:r w:rsidRPr="00BE5D3B">
        <w:t>.</w:t>
      </w:r>
    </w:p>
    <w:p w:rsidR="007F7005" w:rsidRPr="007F7005" w:rsidRDefault="007F7005" w:rsidP="00FF43A0"/>
    <w:p w:rsidR="00F64A0C" w:rsidRPr="00F64A0C" w:rsidRDefault="007F7005" w:rsidP="007F7005">
      <w:pPr>
        <w:pStyle w:val="Paragrafoelenco"/>
        <w:numPr>
          <w:ilvl w:val="0"/>
          <w:numId w:val="1"/>
        </w:numPr>
      </w:pPr>
      <w:r w:rsidRPr="007F7005">
        <w:rPr>
          <w:b/>
          <w:sz w:val="24"/>
          <w:szCs w:val="24"/>
          <w:u w:val="single"/>
        </w:rPr>
        <w:t>For Large</w:t>
      </w:r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Power</w:t>
      </w:r>
      <w:proofErr w:type="spellEnd"/>
      <w:r w:rsidRPr="007F7005">
        <w:rPr>
          <w:b/>
          <w:sz w:val="24"/>
          <w:szCs w:val="24"/>
          <w:u w:val="single"/>
        </w:rPr>
        <w:t xml:space="preserve"> </w:t>
      </w:r>
      <w:proofErr w:type="spellStart"/>
      <w:r w:rsidRPr="007F7005">
        <w:rPr>
          <w:b/>
          <w:sz w:val="24"/>
          <w:szCs w:val="24"/>
          <w:u w:val="single"/>
        </w:rPr>
        <w:t>Plants</w:t>
      </w:r>
      <w:proofErr w:type="spellEnd"/>
      <w:r>
        <w:rPr>
          <w:b/>
          <w:sz w:val="24"/>
          <w:szCs w:val="24"/>
          <w:u w:val="single"/>
        </w:rPr>
        <w:t xml:space="preserve">  </w:t>
      </w:r>
    </w:p>
    <w:p w:rsidR="00111046" w:rsidRDefault="007F7005" w:rsidP="00F64A0C">
      <w:proofErr w:type="spellStart"/>
      <w:r w:rsidRPr="007F7005">
        <w:t>Neglecting</w:t>
      </w:r>
      <w:proofErr w:type="spellEnd"/>
      <w:r w:rsidRPr="007F7005">
        <w:t xml:space="preserve"> the </w:t>
      </w:r>
      <w:proofErr w:type="spellStart"/>
      <w:r w:rsidRPr="007F7005">
        <w:t>peculiarities</w:t>
      </w:r>
      <w:proofErr w:type="spellEnd"/>
      <w:r w:rsidRPr="007F7005">
        <w:t xml:space="preserve"> of the </w:t>
      </w:r>
      <w:proofErr w:type="spellStart"/>
      <w:r w:rsidRPr="007F7005">
        <w:t>individual</w:t>
      </w:r>
      <w:proofErr w:type="spellEnd"/>
      <w:r w:rsidRPr="007F7005">
        <w:t xml:space="preserve"> </w:t>
      </w:r>
      <w:proofErr w:type="spellStart"/>
      <w:r w:rsidRPr="007F7005">
        <w:t>system</w:t>
      </w:r>
      <w:proofErr w:type="spellEnd"/>
      <w:r w:rsidRPr="007F7005">
        <w:t xml:space="preserve"> (panel </w:t>
      </w:r>
      <w:proofErr w:type="spellStart"/>
      <w:r w:rsidRPr="007F7005">
        <w:t>diversity</w:t>
      </w:r>
      <w:proofErr w:type="spellEnd"/>
      <w:r w:rsidRPr="007F7005">
        <w:t xml:space="preserve">, layout, </w:t>
      </w:r>
      <w:proofErr w:type="spellStart"/>
      <w:r w:rsidRPr="007F7005">
        <w:t>configuration</w:t>
      </w:r>
      <w:proofErr w:type="spellEnd"/>
      <w:r w:rsidRPr="007F7005">
        <w:t xml:space="preserve">, etc.) and </w:t>
      </w:r>
      <w:proofErr w:type="spellStart"/>
      <w:r w:rsidRPr="007F7005">
        <w:t>assuming</w:t>
      </w:r>
      <w:proofErr w:type="spellEnd"/>
      <w:r w:rsidRPr="007F7005">
        <w:t xml:space="preserve"> the </w:t>
      </w:r>
      <w:proofErr w:type="spellStart"/>
      <w:r w:rsidRPr="007F7005">
        <w:t>cost</w:t>
      </w:r>
      <w:proofErr w:type="spellEnd"/>
      <w:r w:rsidRPr="007F7005">
        <w:t xml:space="preserve"> </w:t>
      </w:r>
      <w:proofErr w:type="spellStart"/>
      <w:r w:rsidRPr="007F7005">
        <w:t>as</w:t>
      </w:r>
      <w:proofErr w:type="spellEnd"/>
      <w:r w:rsidRPr="007F7005">
        <w:t xml:space="preserve"> a </w:t>
      </w:r>
      <w:proofErr w:type="spellStart"/>
      <w:r w:rsidRPr="007F7005">
        <w:t>function</w:t>
      </w:r>
      <w:proofErr w:type="spellEnd"/>
      <w:r w:rsidRPr="007F7005">
        <w:t xml:space="preserve"> of </w:t>
      </w:r>
      <w:proofErr w:type="spellStart"/>
      <w:r w:rsidRPr="007F7005">
        <w:t>peak</w:t>
      </w:r>
      <w:proofErr w:type="spellEnd"/>
      <w:r w:rsidRPr="007F7005">
        <w:t xml:space="preserve"> </w:t>
      </w:r>
      <w:proofErr w:type="spellStart"/>
      <w:r w:rsidRPr="007F7005">
        <w:t>power</w:t>
      </w:r>
      <w:proofErr w:type="spellEnd"/>
      <w:r w:rsidRPr="007F7005">
        <w:t xml:space="preserve"> </w:t>
      </w:r>
      <w:proofErr w:type="spellStart"/>
      <w:r w:rsidRPr="007F7005">
        <w:t>as</w:t>
      </w:r>
      <w:proofErr w:type="spellEnd"/>
      <w:r w:rsidRPr="007F7005">
        <w:t xml:space="preserve"> the </w:t>
      </w:r>
      <w:proofErr w:type="spellStart"/>
      <w:r w:rsidRPr="007F7005">
        <w:t>only</w:t>
      </w:r>
      <w:proofErr w:type="spellEnd"/>
      <w:r w:rsidRPr="007F7005">
        <w:t xml:space="preserve"> </w:t>
      </w:r>
      <w:proofErr w:type="spellStart"/>
      <w:r w:rsidRPr="007F7005">
        <w:t>variable</w:t>
      </w:r>
      <w:proofErr w:type="spellEnd"/>
      <w:r w:rsidRPr="007F7005">
        <w:t xml:space="preserve">, the </w:t>
      </w:r>
      <w:proofErr w:type="spellStart"/>
      <w:r w:rsidRPr="007F7005">
        <w:t>following</w:t>
      </w:r>
      <w:proofErr w:type="spellEnd"/>
      <w:r w:rsidRPr="007F7005">
        <w:t xml:space="preserve"> </w:t>
      </w:r>
      <w:proofErr w:type="spellStart"/>
      <w:r w:rsidRPr="007F7005">
        <w:t>table</w:t>
      </w:r>
      <w:proofErr w:type="spellEnd"/>
      <w:r w:rsidRPr="007F7005">
        <w:t xml:space="preserve"> can be </w:t>
      </w:r>
      <w:proofErr w:type="spellStart"/>
      <w:r w:rsidRPr="007F7005">
        <w:t>considered</w:t>
      </w:r>
      <w:proofErr w:type="spellEnd"/>
      <w:r w:rsidR="00BB0AD7">
        <w:t>:</w:t>
      </w:r>
    </w:p>
    <w:tbl>
      <w:tblPr>
        <w:tblW w:w="19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56056F" w:rsidRPr="0056056F" w:rsidTr="0056056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56056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MWp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M€</w:t>
            </w:r>
          </w:p>
        </w:tc>
      </w:tr>
      <w:tr w:rsidR="0056056F" w:rsidRPr="0056056F" w:rsidTr="0056056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color w:val="000000"/>
                <w:lang w:eastAsia="it-IT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color w:val="000000"/>
                <w:lang w:eastAsia="it-IT"/>
              </w:rPr>
              <w:t>33</w:t>
            </w:r>
          </w:p>
        </w:tc>
      </w:tr>
      <w:tr w:rsidR="0056056F" w:rsidRPr="0056056F" w:rsidTr="0056056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color w:val="000000"/>
                <w:lang w:eastAsia="it-IT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</w:tr>
      <w:tr w:rsidR="0056056F" w:rsidRPr="0056056F" w:rsidTr="0056056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color w:val="000000"/>
                <w:lang w:eastAsia="it-IT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color w:val="000000"/>
                <w:lang w:eastAsia="it-IT"/>
              </w:rPr>
              <w:t>60</w:t>
            </w:r>
          </w:p>
        </w:tc>
      </w:tr>
      <w:tr w:rsidR="0056056F" w:rsidRPr="0056056F" w:rsidTr="0056056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color w:val="000000"/>
                <w:lang w:eastAsia="it-IT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color w:val="000000"/>
                <w:lang w:eastAsia="it-IT"/>
              </w:rPr>
              <w:t>312</w:t>
            </w:r>
          </w:p>
        </w:tc>
      </w:tr>
      <w:tr w:rsidR="0056056F" w:rsidRPr="0056056F" w:rsidTr="0056056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6056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56F" w:rsidRPr="0056056F" w:rsidRDefault="0056056F" w:rsidP="00560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7D1114" w:rsidRDefault="007D1114" w:rsidP="007D1114">
      <w:pPr>
        <w:jc w:val="center"/>
      </w:pPr>
      <w:proofErr w:type="spellStart"/>
      <w:r>
        <w:t>Tab</w:t>
      </w:r>
      <w:proofErr w:type="spellEnd"/>
      <w:r>
        <w:t>.</w:t>
      </w:r>
      <w:r w:rsidR="00943FE7">
        <w:t xml:space="preserve"> 1</w:t>
      </w:r>
      <w:r>
        <w:t xml:space="preserve"> </w:t>
      </w:r>
      <w:r w:rsidR="00943FE7">
        <w:t>bis</w:t>
      </w:r>
    </w:p>
    <w:p w:rsidR="007F7005" w:rsidRDefault="007F7005" w:rsidP="007F7005">
      <w:pPr>
        <w:jc w:val="both"/>
      </w:pPr>
      <w:r w:rsidRPr="007F7005">
        <w:t xml:space="preserve">on </w:t>
      </w:r>
      <w:proofErr w:type="spellStart"/>
      <w:r w:rsidRPr="007F7005">
        <w:t>which</w:t>
      </w:r>
      <w:proofErr w:type="spellEnd"/>
      <w:r w:rsidRPr="007F7005">
        <w:t xml:space="preserve"> the </w:t>
      </w:r>
      <w:proofErr w:type="spellStart"/>
      <w:r w:rsidRPr="007F7005">
        <w:t>anomaly</w:t>
      </w:r>
      <w:proofErr w:type="spellEnd"/>
      <w:r w:rsidRPr="007F7005">
        <w:t xml:space="preserve"> </w:t>
      </w:r>
      <w:proofErr w:type="spellStart"/>
      <w:r w:rsidRPr="007F7005">
        <w:t>relating</w:t>
      </w:r>
      <w:proofErr w:type="spellEnd"/>
      <w:r w:rsidRPr="007F7005">
        <w:t xml:space="preserve"> to the 150 MW </w:t>
      </w:r>
      <w:proofErr w:type="spellStart"/>
      <w:r w:rsidRPr="007F7005">
        <w:t>plants</w:t>
      </w:r>
      <w:proofErr w:type="spellEnd"/>
      <w:r w:rsidRPr="007F7005">
        <w:t xml:space="preserve"> </w:t>
      </w:r>
      <w:proofErr w:type="spellStart"/>
      <w:r w:rsidRPr="007F7005">
        <w:t>assumed</w:t>
      </w:r>
      <w:proofErr w:type="spellEnd"/>
      <w:r w:rsidRPr="007F7005">
        <w:t xml:space="preserve"> </w:t>
      </w:r>
      <w:proofErr w:type="spellStart"/>
      <w:r w:rsidRPr="007F7005">
        <w:t>as</w:t>
      </w:r>
      <w:proofErr w:type="spellEnd"/>
      <w:r w:rsidRPr="007F7005">
        <w:t xml:space="preserve"> a </w:t>
      </w:r>
      <w:proofErr w:type="spellStart"/>
      <w:r w:rsidRPr="007F7005">
        <w:t>reference</w:t>
      </w:r>
      <w:proofErr w:type="spellEnd"/>
      <w:r w:rsidRPr="007F7005">
        <w:t xml:space="preserve"> by the </w:t>
      </w:r>
      <w:proofErr w:type="spellStart"/>
      <w:r w:rsidRPr="007F7005">
        <w:t>eia</w:t>
      </w:r>
      <w:proofErr w:type="spellEnd"/>
      <w:r w:rsidRPr="007F7005">
        <w:t xml:space="preserve"> </w:t>
      </w:r>
      <w:proofErr w:type="spellStart"/>
      <w:r w:rsidRPr="007F7005">
        <w:t>immediately</w:t>
      </w:r>
      <w:proofErr w:type="spellEnd"/>
      <w:r w:rsidRPr="007F7005">
        <w:t xml:space="preserve"> </w:t>
      </w:r>
      <w:proofErr w:type="spellStart"/>
      <w:r w:rsidRPr="007F7005">
        <w:t>emerges</w:t>
      </w:r>
      <w:proofErr w:type="spellEnd"/>
      <w:r w:rsidRPr="007F7005">
        <w:t xml:space="preserve">, </w:t>
      </w:r>
      <w:proofErr w:type="spellStart"/>
      <w:r w:rsidRPr="007F7005">
        <w:t>presumably</w:t>
      </w:r>
      <w:proofErr w:type="spellEnd"/>
      <w:r w:rsidRPr="007F7005">
        <w:t xml:space="preserve"> due to </w:t>
      </w:r>
      <w:proofErr w:type="spellStart"/>
      <w:r w:rsidRPr="007F7005">
        <w:t>factors</w:t>
      </w:r>
      <w:proofErr w:type="spellEnd"/>
      <w:r w:rsidRPr="007F7005">
        <w:t xml:space="preserve"> </w:t>
      </w:r>
      <w:proofErr w:type="spellStart"/>
      <w:r w:rsidRPr="007F7005">
        <w:t>not</w:t>
      </w:r>
      <w:proofErr w:type="spellEnd"/>
      <w:r w:rsidRPr="007F7005">
        <w:t xml:space="preserve"> </w:t>
      </w:r>
      <w:proofErr w:type="spellStart"/>
      <w:r w:rsidRPr="007F7005">
        <w:t>evaluated</w:t>
      </w:r>
      <w:proofErr w:type="spellEnd"/>
      <w:r w:rsidRPr="007F7005">
        <w:t xml:space="preserve"> in </w:t>
      </w:r>
      <w:proofErr w:type="spellStart"/>
      <w:r w:rsidRPr="007F7005">
        <w:t>this</w:t>
      </w:r>
      <w:proofErr w:type="spellEnd"/>
      <w:r w:rsidRPr="007F7005">
        <w:t xml:space="preserve"> first </w:t>
      </w:r>
      <w:proofErr w:type="spellStart"/>
      <w:r w:rsidRPr="007F7005">
        <w:t>approach</w:t>
      </w:r>
      <w:proofErr w:type="spellEnd"/>
      <w:r w:rsidRPr="007F7005">
        <w:t xml:space="preserve"> </w:t>
      </w:r>
      <w:proofErr w:type="spellStart"/>
      <w:r w:rsidRPr="007F7005">
        <w:t>analysis</w:t>
      </w:r>
      <w:proofErr w:type="spellEnd"/>
      <w:r w:rsidRPr="007F7005">
        <w:t xml:space="preserve"> </w:t>
      </w:r>
      <w:proofErr w:type="spellStart"/>
      <w:r w:rsidRPr="007F7005">
        <w:t>based</w:t>
      </w:r>
      <w:proofErr w:type="spellEnd"/>
      <w:r w:rsidRPr="007F7005">
        <w:t xml:space="preserve"> </w:t>
      </w:r>
      <w:proofErr w:type="spellStart"/>
      <w:r w:rsidRPr="007F7005">
        <w:t>solely</w:t>
      </w:r>
      <w:proofErr w:type="spellEnd"/>
      <w:r w:rsidRPr="007F7005">
        <w:t xml:space="preserve"> on the </w:t>
      </w:r>
      <w:proofErr w:type="spellStart"/>
      <w:r w:rsidRPr="007F7005">
        <w:t>assumption</w:t>
      </w:r>
      <w:proofErr w:type="spellEnd"/>
      <w:r w:rsidRPr="007F7005">
        <w:t xml:space="preserve"> of an </w:t>
      </w:r>
      <w:proofErr w:type="spellStart"/>
      <w:r w:rsidRPr="007F7005">
        <w:t>average</w:t>
      </w:r>
      <w:proofErr w:type="spellEnd"/>
      <w:r w:rsidRPr="007F7005">
        <w:t xml:space="preserve"> </w:t>
      </w:r>
      <w:proofErr w:type="spellStart"/>
      <w:r w:rsidRPr="007F7005">
        <w:t>unit</w:t>
      </w:r>
      <w:proofErr w:type="spellEnd"/>
      <w:r w:rsidRPr="007F7005">
        <w:t xml:space="preserve"> </w:t>
      </w:r>
      <w:proofErr w:type="spellStart"/>
      <w:r w:rsidRPr="007F7005">
        <w:t>price</w:t>
      </w:r>
      <w:proofErr w:type="spellEnd"/>
      <w:r w:rsidRPr="007F7005">
        <w:t xml:space="preserve"> </w:t>
      </w:r>
      <w:proofErr w:type="spellStart"/>
      <w:r w:rsidRPr="007F7005">
        <w:t>between</w:t>
      </w:r>
      <w:proofErr w:type="spellEnd"/>
      <w:r w:rsidRPr="007F7005">
        <w:t xml:space="preserve"> </w:t>
      </w:r>
      <w:proofErr w:type="spellStart"/>
      <w:r w:rsidRPr="007F7005">
        <w:t>various</w:t>
      </w:r>
      <w:proofErr w:type="spellEnd"/>
      <w:r w:rsidRPr="007F7005">
        <w:t xml:space="preserve"> </w:t>
      </w:r>
      <w:proofErr w:type="spellStart"/>
      <w:r w:rsidRPr="007F7005">
        <w:t>regions</w:t>
      </w:r>
      <w:proofErr w:type="spellEnd"/>
      <w:r w:rsidRPr="007F7005">
        <w:t xml:space="preserve"> </w:t>
      </w:r>
      <w:proofErr w:type="spellStart"/>
      <w:r w:rsidRPr="007F7005">
        <w:t>equal</w:t>
      </w:r>
      <w:proofErr w:type="spellEnd"/>
      <w:r w:rsidRPr="007F7005">
        <w:t xml:space="preserve"> to 1748 USD2021/kW per “Solar PV with </w:t>
      </w:r>
      <w:proofErr w:type="spellStart"/>
      <w:r w:rsidRPr="007F7005">
        <w:t>storage</w:t>
      </w:r>
      <w:proofErr w:type="spellEnd"/>
      <w:r w:rsidRPr="007F7005">
        <w:t xml:space="preserve">” . Value </w:t>
      </w:r>
      <w:proofErr w:type="spellStart"/>
      <w:r w:rsidRPr="007F7005">
        <w:t>taken</w:t>
      </w:r>
      <w:proofErr w:type="spellEnd"/>
      <w:r w:rsidRPr="007F7005">
        <w:t xml:space="preserve"> from the </w:t>
      </w:r>
      <w:proofErr w:type="spellStart"/>
      <w:r w:rsidRPr="007F7005">
        <w:t>document</w:t>
      </w:r>
      <w:proofErr w:type="spellEnd"/>
      <w:r w:rsidRPr="007F7005">
        <w:t xml:space="preserve"> “</w:t>
      </w:r>
      <w:proofErr w:type="spellStart"/>
      <w:r w:rsidRPr="007F7005">
        <w:t>Cost</w:t>
      </w:r>
      <w:proofErr w:type="spellEnd"/>
      <w:r w:rsidRPr="007F7005">
        <w:t xml:space="preserve"> and Performance </w:t>
      </w:r>
      <w:proofErr w:type="spellStart"/>
      <w:r w:rsidRPr="007F7005">
        <w:t>Characteristics</w:t>
      </w:r>
      <w:proofErr w:type="spellEnd"/>
      <w:r w:rsidRPr="007F7005">
        <w:t xml:space="preserve"> of New </w:t>
      </w:r>
      <w:proofErr w:type="spellStart"/>
      <w:r w:rsidRPr="007F7005">
        <w:t>Generating</w:t>
      </w:r>
      <w:proofErr w:type="spellEnd"/>
      <w:r w:rsidRPr="007F7005">
        <w:t xml:space="preserve"> Technologies, </w:t>
      </w:r>
      <w:proofErr w:type="spellStart"/>
      <w:r w:rsidRPr="007F7005">
        <w:t>Annual</w:t>
      </w:r>
      <w:proofErr w:type="spellEnd"/>
      <w:r w:rsidRPr="007F7005">
        <w:t xml:space="preserve"> Energy Outlook 2022”. In </w:t>
      </w:r>
      <w:proofErr w:type="spellStart"/>
      <w:r w:rsidRPr="007F7005">
        <w:t>fact</w:t>
      </w:r>
      <w:proofErr w:type="spellEnd"/>
      <w:r w:rsidRPr="007F7005">
        <w:t xml:space="preserve">, </w:t>
      </w:r>
      <w:proofErr w:type="spellStart"/>
      <w:r w:rsidRPr="007F7005">
        <w:t>as</w:t>
      </w:r>
      <w:proofErr w:type="spellEnd"/>
      <w:r w:rsidRPr="007F7005">
        <w:t xml:space="preserve"> the </w:t>
      </w:r>
      <w:proofErr w:type="spellStart"/>
      <w:r w:rsidRPr="007F7005">
        <w:t>following</w:t>
      </w:r>
      <w:proofErr w:type="spellEnd"/>
      <w:r w:rsidRPr="007F7005">
        <w:t xml:space="preserve"> </w:t>
      </w:r>
      <w:proofErr w:type="spellStart"/>
      <w:r w:rsidRPr="007F7005">
        <w:t>graph</w:t>
      </w:r>
      <w:proofErr w:type="spellEnd"/>
      <w:r w:rsidRPr="007F7005">
        <w:t xml:space="preserve"> shows, </w:t>
      </w:r>
      <w:proofErr w:type="spellStart"/>
      <w:r w:rsidRPr="007F7005">
        <w:t>beyond</w:t>
      </w:r>
      <w:proofErr w:type="spellEnd"/>
      <w:r w:rsidRPr="007F7005">
        <w:t xml:space="preserve"> the </w:t>
      </w:r>
      <w:proofErr w:type="spellStart"/>
      <w:r w:rsidRPr="007F7005">
        <w:t>good</w:t>
      </w:r>
      <w:proofErr w:type="spellEnd"/>
      <w:r w:rsidRPr="007F7005">
        <w:t xml:space="preserve"> </w:t>
      </w:r>
      <w:proofErr w:type="spellStart"/>
      <w:r w:rsidRPr="007F7005">
        <w:t>correlating</w:t>
      </w:r>
      <w:proofErr w:type="spellEnd"/>
      <w:r w:rsidRPr="007F7005">
        <w:t xml:space="preserve"> </w:t>
      </w:r>
      <w:proofErr w:type="spellStart"/>
      <w:r w:rsidRPr="007F7005">
        <w:t>function</w:t>
      </w:r>
      <w:proofErr w:type="spellEnd"/>
      <w:r w:rsidRPr="007F7005">
        <w:t xml:space="preserve"> in Fig. 2, </w:t>
      </w:r>
      <w:proofErr w:type="spellStart"/>
      <w:r w:rsidRPr="007F7005">
        <w:t>through</w:t>
      </w:r>
      <w:proofErr w:type="spellEnd"/>
      <w:r w:rsidRPr="007F7005">
        <w:t xml:space="preserve"> a 2nd </w:t>
      </w:r>
      <w:proofErr w:type="spellStart"/>
      <w:r w:rsidRPr="007F7005">
        <w:t>degree</w:t>
      </w:r>
      <w:proofErr w:type="spellEnd"/>
      <w:r w:rsidRPr="007F7005">
        <w:t xml:space="preserve"> </w:t>
      </w:r>
      <w:proofErr w:type="spellStart"/>
      <w:r w:rsidRPr="007F7005">
        <w:t>polynomial</w:t>
      </w:r>
      <w:proofErr w:type="spellEnd"/>
      <w:r w:rsidRPr="007F7005">
        <w:t xml:space="preserve">, </w:t>
      </w:r>
      <w:proofErr w:type="spellStart"/>
      <w:r w:rsidRPr="007F7005">
        <w:t>which</w:t>
      </w:r>
      <w:proofErr w:type="spellEnd"/>
      <w:r w:rsidRPr="007F7005">
        <w:t xml:space="preserve"> </w:t>
      </w:r>
      <w:proofErr w:type="spellStart"/>
      <w:r w:rsidRPr="007F7005">
        <w:t>gives</w:t>
      </w:r>
      <w:proofErr w:type="spellEnd"/>
      <w:r w:rsidRPr="007F7005">
        <w:t xml:space="preserve"> </w:t>
      </w:r>
      <w:proofErr w:type="spellStart"/>
      <w:r w:rsidRPr="007F7005">
        <w:t>continuity</w:t>
      </w:r>
      <w:proofErr w:type="spellEnd"/>
      <w:r w:rsidRPr="007F7005">
        <w:t xml:space="preserve"> to the single </w:t>
      </w:r>
      <w:proofErr w:type="spellStart"/>
      <w:r w:rsidRPr="007F7005">
        <w:t>datum</w:t>
      </w:r>
      <w:proofErr w:type="spellEnd"/>
      <w:r w:rsidRPr="007F7005">
        <w:t xml:space="preserve"> </w:t>
      </w:r>
      <w:proofErr w:type="spellStart"/>
      <w:r w:rsidRPr="007F7005">
        <w:t>together</w:t>
      </w:r>
      <w:proofErr w:type="spellEnd"/>
      <w:r w:rsidRPr="007F7005">
        <w:t xml:space="preserve"> with the </w:t>
      </w:r>
      <w:proofErr w:type="spellStart"/>
      <w:r w:rsidRPr="007F7005">
        <w:t>others</w:t>
      </w:r>
      <w:proofErr w:type="spellEnd"/>
      <w:r w:rsidRPr="007F7005">
        <w:t xml:space="preserve">, </w:t>
      </w:r>
      <w:proofErr w:type="spellStart"/>
      <w:r w:rsidRPr="007F7005">
        <w:t>it</w:t>
      </w:r>
      <w:proofErr w:type="spellEnd"/>
      <w:r w:rsidRPr="007F7005">
        <w:t xml:space="preserve"> </w:t>
      </w:r>
      <w:proofErr w:type="spellStart"/>
      <w:r w:rsidRPr="007F7005">
        <w:t>would</w:t>
      </w:r>
      <w:proofErr w:type="spellEnd"/>
      <w:r w:rsidRPr="007F7005">
        <w:t xml:space="preserve"> </w:t>
      </w:r>
      <w:proofErr w:type="spellStart"/>
      <w:r w:rsidRPr="007F7005">
        <w:t>mean</w:t>
      </w:r>
      <w:proofErr w:type="spellEnd"/>
      <w:r w:rsidRPr="007F7005">
        <w:t xml:space="preserve"> </w:t>
      </w:r>
      <w:proofErr w:type="spellStart"/>
      <w:r w:rsidRPr="007F7005">
        <w:t>that</w:t>
      </w:r>
      <w:proofErr w:type="spellEnd"/>
      <w:r w:rsidRPr="007F7005">
        <w:t xml:space="preserve"> once the </w:t>
      </w:r>
      <w:proofErr w:type="spellStart"/>
      <w:r w:rsidRPr="007F7005">
        <w:t>size</w:t>
      </w:r>
      <w:proofErr w:type="spellEnd"/>
      <w:r w:rsidRPr="007F7005">
        <w:t xml:space="preserve"> of 50 MW </w:t>
      </w:r>
      <w:proofErr w:type="spellStart"/>
      <w:r w:rsidRPr="007F7005">
        <w:t>is</w:t>
      </w:r>
      <w:proofErr w:type="spellEnd"/>
      <w:r w:rsidRPr="007F7005">
        <w:t xml:space="preserve"> </w:t>
      </w:r>
      <w:proofErr w:type="spellStart"/>
      <w:r w:rsidRPr="007F7005">
        <w:t>exceeded</w:t>
      </w:r>
      <w:proofErr w:type="spellEnd"/>
      <w:r w:rsidRPr="007F7005">
        <w:t xml:space="preserve">, the scale </w:t>
      </w:r>
      <w:proofErr w:type="spellStart"/>
      <w:r w:rsidRPr="007F7005">
        <w:t>effect</w:t>
      </w:r>
      <w:proofErr w:type="spellEnd"/>
      <w:r w:rsidRPr="007F7005">
        <w:t xml:space="preserve"> </w:t>
      </w:r>
      <w:proofErr w:type="spellStart"/>
      <w:r w:rsidRPr="007F7005">
        <w:t>ceases</w:t>
      </w:r>
      <w:proofErr w:type="spellEnd"/>
      <w:r w:rsidRPr="007F7005">
        <w:t xml:space="preserve"> and </w:t>
      </w:r>
      <w:proofErr w:type="spellStart"/>
      <w:r w:rsidRPr="007F7005">
        <w:t>unit</w:t>
      </w:r>
      <w:proofErr w:type="spellEnd"/>
      <w:r w:rsidRPr="007F7005">
        <w:t xml:space="preserve"> </w:t>
      </w:r>
      <w:proofErr w:type="spellStart"/>
      <w:r w:rsidRPr="007F7005">
        <w:t>prices</w:t>
      </w:r>
      <w:proofErr w:type="spellEnd"/>
      <w:r w:rsidRPr="007F7005">
        <w:t xml:space="preserve"> </w:t>
      </w:r>
      <w:proofErr w:type="spellStart"/>
      <w:r w:rsidRPr="007F7005">
        <w:t>increase</w:t>
      </w:r>
      <w:proofErr w:type="spellEnd"/>
      <w:r w:rsidRPr="007F7005">
        <w:t xml:space="preserve">, </w:t>
      </w:r>
      <w:proofErr w:type="spellStart"/>
      <w:r w:rsidRPr="007F7005">
        <w:t>rather</w:t>
      </w:r>
      <w:proofErr w:type="spellEnd"/>
      <w:r w:rsidRPr="007F7005">
        <w:t xml:space="preserve"> </w:t>
      </w:r>
      <w:proofErr w:type="spellStart"/>
      <w:r w:rsidRPr="007F7005">
        <w:t>than</w:t>
      </w:r>
      <w:proofErr w:type="spellEnd"/>
      <w:r w:rsidRPr="007F7005">
        <w:t xml:space="preserve"> </w:t>
      </w:r>
      <w:proofErr w:type="spellStart"/>
      <w:r w:rsidRPr="007F7005">
        <w:t>decrease</w:t>
      </w:r>
      <w:proofErr w:type="spellEnd"/>
      <w:r w:rsidRPr="007F7005">
        <w:t xml:space="preserve">, for </w:t>
      </w:r>
      <w:proofErr w:type="spellStart"/>
      <w:r w:rsidRPr="007F7005">
        <w:t>reasons</w:t>
      </w:r>
      <w:proofErr w:type="spellEnd"/>
      <w:r w:rsidRPr="007F7005">
        <w:t xml:space="preserve"> </w:t>
      </w:r>
      <w:proofErr w:type="spellStart"/>
      <w:r w:rsidRPr="007F7005">
        <w:t>not</w:t>
      </w:r>
      <w:proofErr w:type="spellEnd"/>
      <w:r w:rsidRPr="007F7005">
        <w:t xml:space="preserve"> </w:t>
      </w:r>
      <w:proofErr w:type="spellStart"/>
      <w:r w:rsidRPr="007F7005">
        <w:t>yet</w:t>
      </w:r>
      <w:proofErr w:type="spellEnd"/>
      <w:r w:rsidRPr="007F7005">
        <w:t xml:space="preserve"> </w:t>
      </w:r>
      <w:proofErr w:type="spellStart"/>
      <w:r w:rsidRPr="007F7005">
        <w:t>known</w:t>
      </w:r>
      <w:proofErr w:type="spellEnd"/>
      <w:r w:rsidRPr="007F7005">
        <w:t xml:space="preserve"> to </w:t>
      </w:r>
      <w:proofErr w:type="spellStart"/>
      <w:r w:rsidRPr="007F7005">
        <w:t>us</w:t>
      </w:r>
      <w:proofErr w:type="spellEnd"/>
      <w:r w:rsidRPr="007F7005">
        <w:t xml:space="preserve">, </w:t>
      </w:r>
      <w:proofErr w:type="spellStart"/>
      <w:r w:rsidRPr="007F7005">
        <w:t>barring</w:t>
      </w:r>
      <w:proofErr w:type="spellEnd"/>
      <w:r w:rsidRPr="007F7005">
        <w:t xml:space="preserve"> </w:t>
      </w:r>
      <w:proofErr w:type="spellStart"/>
      <w:r w:rsidRPr="007F7005">
        <w:t>involuntary</w:t>
      </w:r>
      <w:proofErr w:type="spellEnd"/>
      <w:r w:rsidRPr="007F7005">
        <w:t xml:space="preserve"> </w:t>
      </w:r>
      <w:proofErr w:type="spellStart"/>
      <w:r w:rsidRPr="007F7005">
        <w:t>errors</w:t>
      </w:r>
      <w:proofErr w:type="spellEnd"/>
      <w:r w:rsidRPr="007F7005">
        <w:t xml:space="preserve"> or </w:t>
      </w:r>
      <w:proofErr w:type="spellStart"/>
      <w:r w:rsidRPr="007F7005">
        <w:t>omissions</w:t>
      </w:r>
      <w:proofErr w:type="spellEnd"/>
      <w:r w:rsidRPr="007F7005">
        <w:t xml:space="preserve">. </w:t>
      </w:r>
      <w:proofErr w:type="spellStart"/>
      <w:r w:rsidRPr="007F7005">
        <w:t>If</w:t>
      </w:r>
      <w:proofErr w:type="spellEnd"/>
      <w:r w:rsidRPr="007F7005">
        <w:t xml:space="preserve"> </w:t>
      </w:r>
      <w:proofErr w:type="spellStart"/>
      <w:r w:rsidRPr="007F7005">
        <w:t>this</w:t>
      </w:r>
      <w:proofErr w:type="spellEnd"/>
      <w:r w:rsidRPr="007F7005">
        <w:t xml:space="preserve"> </w:t>
      </w:r>
      <w:proofErr w:type="spellStart"/>
      <w:r w:rsidRPr="007F7005">
        <w:t>aspect</w:t>
      </w:r>
      <w:proofErr w:type="spellEnd"/>
      <w:r w:rsidRPr="007F7005">
        <w:t xml:space="preserve"> </w:t>
      </w:r>
      <w:proofErr w:type="spellStart"/>
      <w:r w:rsidRPr="007F7005">
        <w:t>proved</w:t>
      </w:r>
      <w:proofErr w:type="spellEnd"/>
      <w:r w:rsidRPr="007F7005">
        <w:t xml:space="preserve"> to be </w:t>
      </w:r>
      <w:proofErr w:type="spellStart"/>
      <w:r w:rsidRPr="007F7005">
        <w:t>founded</w:t>
      </w:r>
      <w:proofErr w:type="spellEnd"/>
      <w:r w:rsidRPr="007F7005">
        <w:t xml:space="preserve"> and </w:t>
      </w:r>
      <w:proofErr w:type="spellStart"/>
      <w:r w:rsidRPr="007F7005">
        <w:t>truthful</w:t>
      </w:r>
      <w:proofErr w:type="spellEnd"/>
      <w:r w:rsidRPr="007F7005">
        <w:t xml:space="preserve"> for some </w:t>
      </w:r>
      <w:proofErr w:type="spellStart"/>
      <w:r w:rsidRPr="007F7005">
        <w:t>reason</w:t>
      </w:r>
      <w:proofErr w:type="spellEnd"/>
      <w:r w:rsidRPr="007F7005">
        <w:t xml:space="preserve">, </w:t>
      </w:r>
      <w:proofErr w:type="spellStart"/>
      <w:r w:rsidRPr="007F7005">
        <w:t>it</w:t>
      </w:r>
      <w:proofErr w:type="spellEnd"/>
      <w:r w:rsidRPr="007F7005">
        <w:t xml:space="preserve"> </w:t>
      </w:r>
      <w:proofErr w:type="spellStart"/>
      <w:r w:rsidRPr="007F7005">
        <w:t>would</w:t>
      </w:r>
      <w:proofErr w:type="spellEnd"/>
      <w:r w:rsidRPr="007F7005">
        <w:t xml:space="preserve"> be </w:t>
      </w:r>
      <w:proofErr w:type="spellStart"/>
      <w:r w:rsidRPr="007F7005">
        <w:t>at</w:t>
      </w:r>
      <w:proofErr w:type="spellEnd"/>
      <w:r w:rsidRPr="007F7005">
        <w:t xml:space="preserve"> </w:t>
      </w:r>
      <w:proofErr w:type="spellStart"/>
      <w:r w:rsidRPr="007F7005">
        <w:t>least</w:t>
      </w:r>
      <w:proofErr w:type="spellEnd"/>
      <w:r w:rsidRPr="007F7005">
        <w:t xml:space="preserve"> "</w:t>
      </w:r>
      <w:proofErr w:type="spellStart"/>
      <w:r w:rsidRPr="007F7005">
        <w:t>counterintuitive</w:t>
      </w:r>
      <w:proofErr w:type="spellEnd"/>
      <w:r w:rsidRPr="007F7005">
        <w:t>".</w:t>
      </w:r>
    </w:p>
    <w:p w:rsidR="00907543" w:rsidRDefault="00E9610C" w:rsidP="00907543">
      <w:pPr>
        <w:jc w:val="center"/>
      </w:pPr>
      <w:r>
        <w:rPr>
          <w:noProof/>
          <w:lang w:eastAsia="it-IT"/>
        </w:rPr>
        <w:drawing>
          <wp:inline distT="0" distB="0" distL="0" distR="0" wp14:anchorId="209D7271" wp14:editId="41B3A8F9">
            <wp:extent cx="4572000" cy="2743200"/>
            <wp:effectExtent l="0" t="0" r="19050" b="19050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F75CC" w:rsidRDefault="008F75CC" w:rsidP="00907543">
      <w:pPr>
        <w:jc w:val="center"/>
      </w:pPr>
      <w:r>
        <w:t>Fig. 2</w:t>
      </w:r>
    </w:p>
    <w:p w:rsidR="007A0CCE" w:rsidRDefault="007A0CCE" w:rsidP="007A0CCE">
      <w:pPr>
        <w:pStyle w:val="Paragrafoelenco"/>
      </w:pPr>
    </w:p>
    <w:p w:rsidR="007A0CCE" w:rsidRDefault="007A0CCE" w:rsidP="007A0CCE">
      <w:pPr>
        <w:pStyle w:val="Paragrafoelenco"/>
      </w:pPr>
    </w:p>
    <w:p w:rsidR="007A0CCE" w:rsidRDefault="007A0CCE" w:rsidP="007A0CCE">
      <w:pPr>
        <w:pStyle w:val="Paragrafoelenco"/>
      </w:pPr>
    </w:p>
    <w:p w:rsidR="00D565C2" w:rsidRPr="007A0CCE" w:rsidRDefault="00D565C2" w:rsidP="00D565C2">
      <w:pPr>
        <w:pStyle w:val="Paragrafoelenco"/>
        <w:numPr>
          <w:ilvl w:val="0"/>
          <w:numId w:val="2"/>
        </w:numPr>
        <w:rPr>
          <w:b/>
          <w:u w:val="double"/>
        </w:rPr>
      </w:pPr>
      <w:r w:rsidRPr="007A0CCE">
        <w:rPr>
          <w:b/>
          <w:u w:val="double"/>
        </w:rPr>
        <w:t>CONCLUSIONI</w:t>
      </w:r>
    </w:p>
    <w:tbl>
      <w:tblPr>
        <w:tblW w:w="3562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5"/>
        <w:gridCol w:w="1033"/>
        <w:gridCol w:w="976"/>
        <w:gridCol w:w="1031"/>
      </w:tblGrid>
      <w:tr w:rsidR="00DF11BD" w:rsidRPr="00DF11BD" w:rsidTr="00297B1B">
        <w:trPr>
          <w:trHeight w:val="275"/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DF11B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kWp</w:t>
            </w:r>
            <w:proofErr w:type="spell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€</w:t>
            </w:r>
          </w:p>
        </w:tc>
        <w:tc>
          <w:tcPr>
            <w:tcW w:w="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€/kW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NOTE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1472,5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1472,5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1,5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2176,744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1451,162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1,5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2176,744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1451,162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2872,422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1436,211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4246,198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1415,399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4246,198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1415,399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4246,198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1415,399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4,5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6277,001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1394,889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Piccoli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4,5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6277,001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1394,889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Impianti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8283,104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1380,517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Domestici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8283,104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1380,517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o 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13553,62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1355,362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per 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13553,62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1355,362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PMI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13553,62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1355,362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13553,62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1355,362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26439,19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1321,96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26439,19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1321,96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39084,11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1302,804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39084,11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1302,804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39084,11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1302,804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63953,22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1279,064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63953,22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1279,064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7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63953,22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1279,064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32000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32435447</w:t>
            </w:r>
          </w:p>
        </w:tc>
        <w:tc>
          <w:tcPr>
            <w:tcW w:w="8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1013,608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Grandi </w:t>
            </w:r>
          </w:p>
        </w:tc>
      </w:tr>
      <w:tr w:rsidR="00DF11BD" w:rsidRPr="00DF11BD" w:rsidTr="00297B1B">
        <w:trPr>
          <w:trHeight w:val="26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34000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34387530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1011,398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Impianti</w:t>
            </w:r>
          </w:p>
        </w:tc>
      </w:tr>
      <w:tr w:rsidR="00DF11BD" w:rsidRPr="00DF11BD" w:rsidTr="00297B1B">
        <w:trPr>
          <w:trHeight w:val="27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80000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78457425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980,7178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Italia</w:t>
            </w:r>
          </w:p>
        </w:tc>
      </w:tr>
      <w:tr w:rsidR="00DF11BD" w:rsidRPr="00DF11BD" w:rsidTr="00297B1B">
        <w:trPr>
          <w:trHeight w:val="27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150000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1,44E+08</w:t>
            </w:r>
          </w:p>
        </w:tc>
        <w:tc>
          <w:tcPr>
            <w:tcW w:w="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958,7735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1BD" w:rsidRPr="00DF11BD" w:rsidRDefault="00DF11BD" w:rsidP="00DF1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11BD">
              <w:rPr>
                <w:rFonts w:ascii="Calibri" w:eastAsia="Times New Roman" w:hAnsi="Calibri" w:cs="Calibri"/>
                <w:color w:val="000000"/>
                <w:lang w:eastAsia="it-IT"/>
              </w:rPr>
              <w:t>USA</w:t>
            </w:r>
          </w:p>
        </w:tc>
      </w:tr>
    </w:tbl>
    <w:p w:rsidR="00094F8F" w:rsidRDefault="00DF11BD" w:rsidP="00DF11BD">
      <w:pPr>
        <w:jc w:val="center"/>
        <w:rPr>
          <w:b/>
        </w:rPr>
      </w:pPr>
      <w:r w:rsidRPr="00256763">
        <w:rPr>
          <w:b/>
        </w:rPr>
        <w:t xml:space="preserve"> </w:t>
      </w:r>
      <w:proofErr w:type="spellStart"/>
      <w:r w:rsidRPr="00256763">
        <w:rPr>
          <w:b/>
        </w:rPr>
        <w:t>Ta</w:t>
      </w:r>
      <w:r w:rsidR="00256763" w:rsidRPr="00256763">
        <w:rPr>
          <w:b/>
        </w:rPr>
        <w:t>b</w:t>
      </w:r>
      <w:proofErr w:type="spellEnd"/>
      <w:r w:rsidRPr="00256763">
        <w:rPr>
          <w:b/>
        </w:rPr>
        <w:t>. 2</w:t>
      </w:r>
    </w:p>
    <w:p w:rsidR="00065AB1" w:rsidRDefault="00065AB1" w:rsidP="00781720">
      <w:pPr>
        <w:jc w:val="both"/>
      </w:pPr>
    </w:p>
    <w:p w:rsidR="00AA4EDF" w:rsidRDefault="00AA4EDF" w:rsidP="00AA4EDF">
      <w:pPr>
        <w:jc w:val="both"/>
      </w:pPr>
      <w:proofErr w:type="spellStart"/>
      <w:r w:rsidRPr="00AA4EDF">
        <w:t>If</w:t>
      </w:r>
      <w:proofErr w:type="spellEnd"/>
      <w:r w:rsidRPr="00AA4EDF">
        <w:t xml:space="preserve"> the US data are </w:t>
      </w:r>
      <w:proofErr w:type="spellStart"/>
      <w:r w:rsidRPr="00AA4EDF">
        <w:t>excluded</w:t>
      </w:r>
      <w:proofErr w:type="spellEnd"/>
      <w:r w:rsidRPr="00AA4EDF">
        <w:t xml:space="preserve">. </w:t>
      </w:r>
      <w:proofErr w:type="spellStart"/>
      <w:r w:rsidRPr="00AA4EDF">
        <w:t>waiting</w:t>
      </w:r>
      <w:proofErr w:type="spellEnd"/>
      <w:r w:rsidRPr="00AA4EDF">
        <w:t xml:space="preserve"> for </w:t>
      </w:r>
      <w:proofErr w:type="spellStart"/>
      <w:r w:rsidRPr="00AA4EDF">
        <w:t>further</w:t>
      </w:r>
      <w:proofErr w:type="spellEnd"/>
      <w:r w:rsidRPr="00AA4EDF">
        <w:t xml:space="preserve"> </w:t>
      </w:r>
      <w:proofErr w:type="spellStart"/>
      <w:r w:rsidRPr="00AA4EDF">
        <w:t>investigation</w:t>
      </w:r>
      <w:proofErr w:type="spellEnd"/>
      <w:r w:rsidRPr="00AA4EDF">
        <w:t xml:space="preserve"> and an </w:t>
      </w:r>
      <w:proofErr w:type="spellStart"/>
      <w:r w:rsidRPr="00AA4EDF">
        <w:t>explanation</w:t>
      </w:r>
      <w:proofErr w:type="spellEnd"/>
      <w:r w:rsidRPr="00AA4EDF">
        <w:t xml:space="preserve">, </w:t>
      </w:r>
      <w:proofErr w:type="spellStart"/>
      <w:r w:rsidRPr="00AA4EDF">
        <w:t>it</w:t>
      </w:r>
      <w:proofErr w:type="spellEnd"/>
      <w:r w:rsidRPr="00AA4EDF">
        <w:t xml:space="preserve"> can be </w:t>
      </w:r>
      <w:proofErr w:type="spellStart"/>
      <w:r w:rsidRPr="00AA4EDF">
        <w:t>noted</w:t>
      </w:r>
      <w:proofErr w:type="spellEnd"/>
      <w:r w:rsidRPr="00AA4EDF">
        <w:t xml:space="preserve"> </w:t>
      </w:r>
      <w:proofErr w:type="spellStart"/>
      <w:r w:rsidRPr="00AA4EDF">
        <w:t>that</w:t>
      </w:r>
      <w:proofErr w:type="spellEnd"/>
      <w:r w:rsidRPr="00AA4EDF">
        <w:t xml:space="preserve"> the </w:t>
      </w:r>
      <w:proofErr w:type="spellStart"/>
      <w:r w:rsidRPr="00AA4EDF">
        <w:t>correlation</w:t>
      </w:r>
      <w:proofErr w:type="spellEnd"/>
      <w:r w:rsidRPr="00AA4EDF">
        <w:t xml:space="preserve"> </w:t>
      </w:r>
      <w:proofErr w:type="spellStart"/>
      <w:r w:rsidRPr="00AA4EDF">
        <w:t>function</w:t>
      </w:r>
      <w:proofErr w:type="spellEnd"/>
      <w:r w:rsidRPr="00AA4EDF">
        <w:t xml:space="preserve"> (</w:t>
      </w:r>
      <w:proofErr w:type="spellStart"/>
      <w:r w:rsidRPr="00AA4EDF">
        <w:t>power</w:t>
      </w:r>
      <w:proofErr w:type="spellEnd"/>
      <w:r w:rsidRPr="00AA4EDF">
        <w:t xml:space="preserve"> </w:t>
      </w:r>
      <w:proofErr w:type="spellStart"/>
      <w:r w:rsidRPr="00AA4EDF">
        <w:t>function</w:t>
      </w:r>
      <w:proofErr w:type="spellEnd"/>
      <w:r w:rsidRPr="00AA4EDF">
        <w:t xml:space="preserve">) </w:t>
      </w:r>
      <w:proofErr w:type="spellStart"/>
      <w:r w:rsidRPr="00AA4EDF">
        <w:t>found</w:t>
      </w:r>
      <w:proofErr w:type="spellEnd"/>
      <w:r w:rsidRPr="00AA4EDF">
        <w:t xml:space="preserve"> and </w:t>
      </w:r>
      <w:proofErr w:type="spellStart"/>
      <w:r w:rsidRPr="00AA4EDF">
        <w:t>reported</w:t>
      </w:r>
      <w:proofErr w:type="spellEnd"/>
      <w:r w:rsidRPr="00AA4EDF">
        <w:t xml:space="preserve"> in Fig.1 </w:t>
      </w:r>
      <w:proofErr w:type="spellStart"/>
      <w:r w:rsidRPr="00AA4EDF">
        <w:t>explains</w:t>
      </w:r>
      <w:proofErr w:type="spellEnd"/>
      <w:r w:rsidRPr="00AA4EDF">
        <w:t xml:space="preserve"> </w:t>
      </w:r>
      <w:proofErr w:type="spellStart"/>
      <w:r w:rsidRPr="00AA4EDF">
        <w:t>all</w:t>
      </w:r>
      <w:proofErr w:type="spellEnd"/>
      <w:r w:rsidRPr="00AA4EDF">
        <w:t xml:space="preserve"> the </w:t>
      </w:r>
      <w:proofErr w:type="spellStart"/>
      <w:r w:rsidRPr="00AA4EDF">
        <w:t>unit</w:t>
      </w:r>
      <w:proofErr w:type="spellEnd"/>
      <w:r w:rsidRPr="00AA4EDF">
        <w:t xml:space="preserve"> </w:t>
      </w:r>
      <w:proofErr w:type="spellStart"/>
      <w:r w:rsidRPr="00AA4EDF">
        <w:t>cost</w:t>
      </w:r>
      <w:proofErr w:type="spellEnd"/>
      <w:r w:rsidRPr="00AA4EDF">
        <w:t xml:space="preserve"> data </w:t>
      </w:r>
      <w:proofErr w:type="spellStart"/>
      <w:r w:rsidRPr="00AA4EDF">
        <w:t>quite</w:t>
      </w:r>
      <w:proofErr w:type="spellEnd"/>
      <w:r w:rsidRPr="00AA4EDF">
        <w:t xml:space="preserve"> </w:t>
      </w:r>
      <w:proofErr w:type="spellStart"/>
      <w:r w:rsidRPr="00AA4EDF">
        <w:t>well</w:t>
      </w:r>
      <w:proofErr w:type="spellEnd"/>
      <w:r w:rsidRPr="00AA4EDF">
        <w:t xml:space="preserve"> for </w:t>
      </w:r>
      <w:proofErr w:type="spellStart"/>
      <w:r w:rsidRPr="00AA4EDF">
        <w:t>both</w:t>
      </w:r>
      <w:proofErr w:type="spellEnd"/>
      <w:r w:rsidRPr="00AA4EDF">
        <w:t xml:space="preserve"> small </w:t>
      </w:r>
      <w:proofErr w:type="spellStart"/>
      <w:r w:rsidRPr="00AA4EDF">
        <w:t>systems</w:t>
      </w:r>
      <w:proofErr w:type="spellEnd"/>
      <w:r w:rsidRPr="00AA4EDF">
        <w:t xml:space="preserve"> and large </w:t>
      </w:r>
      <w:proofErr w:type="spellStart"/>
      <w:r w:rsidRPr="00AA4EDF">
        <w:t>systems</w:t>
      </w:r>
      <w:proofErr w:type="spellEnd"/>
      <w:r w:rsidRPr="00AA4EDF">
        <w:t xml:space="preserve">, to the </w:t>
      </w:r>
      <w:proofErr w:type="spellStart"/>
      <w:r w:rsidRPr="00AA4EDF">
        <w:t>point</w:t>
      </w:r>
      <w:proofErr w:type="spellEnd"/>
      <w:r w:rsidRPr="00AA4EDF">
        <w:t xml:space="preserve"> of </w:t>
      </w:r>
      <w:proofErr w:type="spellStart"/>
      <w:r w:rsidRPr="00AA4EDF">
        <w:t>being</w:t>
      </w:r>
      <w:proofErr w:type="spellEnd"/>
      <w:r w:rsidRPr="00AA4EDF">
        <w:t xml:space="preserve"> </w:t>
      </w:r>
      <w:proofErr w:type="spellStart"/>
      <w:r w:rsidRPr="00AA4EDF">
        <w:t>able</w:t>
      </w:r>
      <w:proofErr w:type="spellEnd"/>
      <w:r w:rsidRPr="00AA4EDF">
        <w:t xml:space="preserve"> to be </w:t>
      </w:r>
      <w:proofErr w:type="spellStart"/>
      <w:r w:rsidRPr="00AA4EDF">
        <w:t>proposed</w:t>
      </w:r>
      <w:proofErr w:type="spellEnd"/>
      <w:r w:rsidRPr="00AA4EDF">
        <w:t xml:space="preserve">, in the </w:t>
      </w:r>
      <w:proofErr w:type="spellStart"/>
      <w:r w:rsidRPr="00AA4EDF">
        <w:t>following</w:t>
      </w:r>
      <w:proofErr w:type="spellEnd"/>
      <w:r w:rsidRPr="00AA4EDF">
        <w:t xml:space="preserve"> Fig. 3, </w:t>
      </w:r>
      <w:proofErr w:type="spellStart"/>
      <w:r w:rsidRPr="00AA4EDF">
        <w:t>as</w:t>
      </w:r>
      <w:proofErr w:type="spellEnd"/>
      <w:r w:rsidRPr="00AA4EDF">
        <w:t xml:space="preserve"> </w:t>
      </w:r>
      <w:r w:rsidRPr="00AA4EDF">
        <w:rPr>
          <w:b/>
        </w:rPr>
        <w:t xml:space="preserve">a first </w:t>
      </w:r>
      <w:proofErr w:type="spellStart"/>
      <w:r w:rsidRPr="00AA4EDF">
        <w:rPr>
          <w:b/>
        </w:rPr>
        <w:t>approach</w:t>
      </w:r>
      <w:proofErr w:type="spellEnd"/>
      <w:r w:rsidRPr="00AA4EDF">
        <w:rPr>
          <w:b/>
        </w:rPr>
        <w:t xml:space="preserve"> estimator </w:t>
      </w:r>
      <w:proofErr w:type="spellStart"/>
      <w:r w:rsidRPr="00AA4EDF">
        <w:rPr>
          <w:b/>
        </w:rPr>
        <w:t>function</w:t>
      </w:r>
      <w:proofErr w:type="spellEnd"/>
      <w:r w:rsidRPr="00AA4EDF">
        <w:rPr>
          <w:b/>
        </w:rPr>
        <w:t xml:space="preserve"> for scope </w:t>
      </w:r>
      <w:proofErr w:type="spellStart"/>
      <w:r w:rsidRPr="00AA4EDF">
        <w:rPr>
          <w:b/>
        </w:rPr>
        <w:t>studies</w:t>
      </w:r>
      <w:proofErr w:type="spellEnd"/>
      <w:r w:rsidRPr="00AA4EDF">
        <w:rPr>
          <w:b/>
        </w:rPr>
        <w:t xml:space="preserve"> and general </w:t>
      </w:r>
      <w:proofErr w:type="spellStart"/>
      <w:r w:rsidRPr="00AA4EDF">
        <w:rPr>
          <w:b/>
        </w:rPr>
        <w:t>comparisons</w:t>
      </w:r>
      <w:proofErr w:type="spellEnd"/>
      <w:r w:rsidRPr="00AA4EDF">
        <w:t xml:space="preserve">, </w:t>
      </w:r>
      <w:proofErr w:type="spellStart"/>
      <w:r w:rsidRPr="00AA4EDF">
        <w:t>also</w:t>
      </w:r>
      <w:proofErr w:type="spellEnd"/>
      <w:r w:rsidRPr="00AA4EDF">
        <w:t xml:space="preserve"> </w:t>
      </w:r>
      <w:proofErr w:type="spellStart"/>
      <w:r w:rsidRPr="00AA4EDF">
        <w:t>regarding</w:t>
      </w:r>
      <w:proofErr w:type="spellEnd"/>
      <w:r w:rsidRPr="00AA4EDF">
        <w:t xml:space="preserve"> new </w:t>
      </w:r>
      <w:proofErr w:type="spellStart"/>
      <w:r w:rsidRPr="00AA4EDF">
        <w:t>installations</w:t>
      </w:r>
      <w:proofErr w:type="spellEnd"/>
      <w:r w:rsidRPr="00AA4EDF">
        <w:t xml:space="preserve"> for </w:t>
      </w:r>
      <w:proofErr w:type="spellStart"/>
      <w:r w:rsidRPr="00AA4EDF">
        <w:t>which</w:t>
      </w:r>
      <w:proofErr w:type="spellEnd"/>
      <w:r w:rsidRPr="00AA4EDF">
        <w:t xml:space="preserve">, </w:t>
      </w:r>
      <w:proofErr w:type="spellStart"/>
      <w:r w:rsidRPr="00AA4EDF">
        <w:t>beyond</w:t>
      </w:r>
      <w:proofErr w:type="spellEnd"/>
      <w:r w:rsidRPr="00AA4EDF">
        <w:t xml:space="preserve"> the </w:t>
      </w:r>
      <w:proofErr w:type="spellStart"/>
      <w:r w:rsidRPr="00AA4EDF">
        <w:t>size</w:t>
      </w:r>
      <w:proofErr w:type="spellEnd"/>
      <w:r w:rsidRPr="00AA4EDF">
        <w:t xml:space="preserve">, a </w:t>
      </w:r>
      <w:proofErr w:type="spellStart"/>
      <w:r w:rsidRPr="00AA4EDF">
        <w:t>detailed</w:t>
      </w:r>
      <w:proofErr w:type="spellEnd"/>
      <w:r w:rsidRPr="00AA4EDF">
        <w:t xml:space="preserve"> </w:t>
      </w:r>
      <w:proofErr w:type="spellStart"/>
      <w:r w:rsidRPr="00AA4EDF">
        <w:t>project</w:t>
      </w:r>
      <w:proofErr w:type="spellEnd"/>
      <w:r w:rsidRPr="00AA4EDF">
        <w:t xml:space="preserve"> and a </w:t>
      </w:r>
      <w:proofErr w:type="spellStart"/>
      <w:r w:rsidRPr="00AA4EDF">
        <w:t>related</w:t>
      </w:r>
      <w:proofErr w:type="spellEnd"/>
      <w:r w:rsidRPr="00AA4EDF">
        <w:t xml:space="preserve"> </w:t>
      </w:r>
      <w:proofErr w:type="spellStart"/>
      <w:r w:rsidRPr="00AA4EDF">
        <w:t>estimated</w:t>
      </w:r>
      <w:proofErr w:type="spellEnd"/>
      <w:r w:rsidRPr="00AA4EDF">
        <w:t xml:space="preserve"> </w:t>
      </w:r>
      <w:proofErr w:type="spellStart"/>
      <w:r w:rsidRPr="00AA4EDF">
        <w:t>metric</w:t>
      </w:r>
      <w:proofErr w:type="spellEnd"/>
      <w:r w:rsidRPr="00AA4EDF">
        <w:t xml:space="preserve"> </w:t>
      </w:r>
      <w:proofErr w:type="spellStart"/>
      <w:r w:rsidRPr="00AA4EDF">
        <w:t>calculation</w:t>
      </w:r>
      <w:proofErr w:type="spellEnd"/>
      <w:r w:rsidRPr="00AA4EDF">
        <w:t xml:space="preserve"> </w:t>
      </w:r>
      <w:proofErr w:type="spellStart"/>
      <w:r w:rsidRPr="00AA4EDF">
        <w:t>is</w:t>
      </w:r>
      <w:proofErr w:type="spellEnd"/>
      <w:r w:rsidRPr="00AA4EDF">
        <w:t xml:space="preserve"> </w:t>
      </w:r>
      <w:proofErr w:type="spellStart"/>
      <w:r w:rsidRPr="00AA4EDF">
        <w:t>not</w:t>
      </w:r>
      <w:proofErr w:type="spellEnd"/>
      <w:r w:rsidRPr="00AA4EDF">
        <w:t xml:space="preserve"> </w:t>
      </w:r>
      <w:proofErr w:type="spellStart"/>
      <w:r w:rsidRPr="00AA4EDF">
        <w:t>possible</w:t>
      </w:r>
      <w:proofErr w:type="spellEnd"/>
      <w:r w:rsidRPr="00AA4EDF">
        <w:t xml:space="preserve"> </w:t>
      </w:r>
      <w:proofErr w:type="spellStart"/>
      <w:r w:rsidRPr="00AA4EDF">
        <w:t>yet</w:t>
      </w:r>
      <w:proofErr w:type="spellEnd"/>
      <w:r w:rsidRPr="00AA4EDF">
        <w:t xml:space="preserve"> .</w:t>
      </w:r>
    </w:p>
    <w:p w:rsidR="00CF219B" w:rsidRDefault="00297B1B" w:rsidP="00DF11BD">
      <w:pPr>
        <w:jc w:val="center"/>
        <w:rPr>
          <w:b/>
        </w:rPr>
      </w:pPr>
      <w:r>
        <w:rPr>
          <w:noProof/>
          <w:lang w:eastAsia="it-IT"/>
        </w:rPr>
        <w:lastRenderedPageBreak/>
        <w:drawing>
          <wp:inline distT="0" distB="0" distL="0" distR="0" wp14:anchorId="264E58DF" wp14:editId="67453A44">
            <wp:extent cx="4572000" cy="2743200"/>
            <wp:effectExtent l="0" t="0" r="19050" b="19050"/>
            <wp:docPr id="10" name="Gra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56763" w:rsidRDefault="00CF219B" w:rsidP="00DF11BD">
      <w:pPr>
        <w:jc w:val="center"/>
        <w:rPr>
          <w:b/>
        </w:rPr>
      </w:pPr>
      <w:r>
        <w:rPr>
          <w:b/>
        </w:rPr>
        <w:t>Fig.3</w:t>
      </w:r>
    </w:p>
    <w:p w:rsidR="00EF129B" w:rsidRPr="00EF129B" w:rsidRDefault="00C1177C" w:rsidP="00C1177C">
      <w:pPr>
        <w:jc w:val="both"/>
      </w:pPr>
      <w:r w:rsidRPr="00C1177C">
        <w:t xml:space="preserve">The </w:t>
      </w:r>
      <w:proofErr w:type="spellStart"/>
      <w:r w:rsidRPr="00C1177C">
        <w:t>function</w:t>
      </w:r>
      <w:proofErr w:type="spellEnd"/>
      <w:r w:rsidRPr="00C1177C">
        <w:t xml:space="preserve"> </w:t>
      </w:r>
      <w:proofErr w:type="spellStart"/>
      <w:r w:rsidRPr="00C1177C">
        <w:t>found</w:t>
      </w:r>
      <w:proofErr w:type="spellEnd"/>
      <w:r w:rsidRPr="00C1177C">
        <w:t xml:space="preserve">, in </w:t>
      </w:r>
      <w:proofErr w:type="spellStart"/>
      <w:r w:rsidRPr="00C1177C">
        <w:t>fact</w:t>
      </w:r>
      <w:proofErr w:type="spellEnd"/>
      <w:r w:rsidRPr="00C1177C">
        <w:t xml:space="preserve">, </w:t>
      </w:r>
      <w:proofErr w:type="spellStart"/>
      <w:r w:rsidRPr="00C1177C">
        <w:t>seems</w:t>
      </w:r>
      <w:proofErr w:type="spellEnd"/>
      <w:r w:rsidRPr="00C1177C">
        <w:t xml:space="preserve"> to </w:t>
      </w:r>
      <w:proofErr w:type="spellStart"/>
      <w:r w:rsidRPr="00C1177C">
        <w:t>give</w:t>
      </w:r>
      <w:proofErr w:type="spellEnd"/>
      <w:r w:rsidRPr="00C1177C">
        <w:t xml:space="preserve"> "</w:t>
      </w:r>
      <w:proofErr w:type="spellStart"/>
      <w:r w:rsidRPr="00C1177C">
        <w:t>continuity</w:t>
      </w:r>
      <w:proofErr w:type="spellEnd"/>
      <w:r w:rsidRPr="00C1177C">
        <w:t xml:space="preserve">" to </w:t>
      </w:r>
      <w:proofErr w:type="spellStart"/>
      <w:r w:rsidRPr="00C1177C">
        <w:t>both</w:t>
      </w:r>
      <w:proofErr w:type="spellEnd"/>
      <w:r w:rsidRPr="00C1177C">
        <w:t xml:space="preserve"> the data of the small and large </w:t>
      </w:r>
      <w:proofErr w:type="spellStart"/>
      <w:r w:rsidRPr="00C1177C">
        <w:t>plants</w:t>
      </w:r>
      <w:proofErr w:type="spellEnd"/>
      <w:r w:rsidRPr="00C1177C">
        <w:t xml:space="preserve"> </w:t>
      </w:r>
      <w:proofErr w:type="spellStart"/>
      <w:r w:rsidRPr="00C1177C">
        <w:t>detected</w:t>
      </w:r>
      <w:proofErr w:type="spellEnd"/>
      <w:r w:rsidRPr="00C1177C">
        <w:t xml:space="preserve"> in </w:t>
      </w:r>
      <w:proofErr w:type="spellStart"/>
      <w:r w:rsidRPr="00C1177C">
        <w:t>our</w:t>
      </w:r>
      <w:proofErr w:type="spellEnd"/>
      <w:r w:rsidRPr="00C1177C">
        <w:t xml:space="preserve"> country. In </w:t>
      </w:r>
      <w:proofErr w:type="spellStart"/>
      <w:r w:rsidRPr="00C1177C">
        <w:t>theory</w:t>
      </w:r>
      <w:proofErr w:type="spellEnd"/>
      <w:r w:rsidRPr="00C1177C">
        <w:t xml:space="preserve">, the gap </w:t>
      </w:r>
      <w:proofErr w:type="spellStart"/>
      <w:r w:rsidRPr="00C1177C">
        <w:t>existing</w:t>
      </w:r>
      <w:proofErr w:type="spellEnd"/>
      <w:r w:rsidRPr="00C1177C">
        <w:t xml:space="preserve"> in the intermediate </w:t>
      </w:r>
      <w:proofErr w:type="spellStart"/>
      <w:r w:rsidRPr="00C1177C">
        <w:t>range</w:t>
      </w:r>
      <w:proofErr w:type="spellEnd"/>
      <w:r w:rsidRPr="00C1177C">
        <w:t xml:space="preserve"> of the data </w:t>
      </w:r>
      <w:proofErr w:type="spellStart"/>
      <w:r w:rsidRPr="00C1177C">
        <w:t>considered</w:t>
      </w:r>
      <w:proofErr w:type="spellEnd"/>
      <w:r w:rsidRPr="00C1177C">
        <w:t xml:space="preserve"> can be </w:t>
      </w:r>
      <w:proofErr w:type="spellStart"/>
      <w:r w:rsidRPr="00C1177C">
        <w:t>criticized</w:t>
      </w:r>
      <w:proofErr w:type="spellEnd"/>
      <w:r w:rsidRPr="00C1177C">
        <w:t xml:space="preserve"> </w:t>
      </w:r>
      <w:proofErr w:type="spellStart"/>
      <w:r w:rsidRPr="00C1177C">
        <w:t>as</w:t>
      </w:r>
      <w:proofErr w:type="spellEnd"/>
      <w:r w:rsidRPr="00C1177C">
        <w:t xml:space="preserve"> the </w:t>
      </w:r>
      <w:proofErr w:type="spellStart"/>
      <w:r w:rsidRPr="00C1177C">
        <w:t>absence</w:t>
      </w:r>
      <w:proofErr w:type="spellEnd"/>
      <w:r w:rsidRPr="00C1177C">
        <w:t xml:space="preserve"> of "</w:t>
      </w:r>
      <w:proofErr w:type="spellStart"/>
      <w:r w:rsidRPr="00C1177C">
        <w:t>homoscedasticity</w:t>
      </w:r>
      <w:proofErr w:type="spellEnd"/>
      <w:r w:rsidRPr="00C1177C">
        <w:t xml:space="preserve">" in the data </w:t>
      </w:r>
      <w:proofErr w:type="spellStart"/>
      <w:r w:rsidRPr="00C1177C">
        <w:t>collected</w:t>
      </w:r>
      <w:proofErr w:type="spellEnd"/>
      <w:r w:rsidRPr="00C1177C">
        <w:t xml:space="preserve">, </w:t>
      </w:r>
      <w:proofErr w:type="spellStart"/>
      <w:r w:rsidRPr="00C1177C">
        <w:t>rather</w:t>
      </w:r>
      <w:proofErr w:type="spellEnd"/>
      <w:r w:rsidRPr="00C1177C">
        <w:t xml:space="preserve"> </w:t>
      </w:r>
      <w:proofErr w:type="spellStart"/>
      <w:r w:rsidRPr="00C1177C">
        <w:t>than</w:t>
      </w:r>
      <w:proofErr w:type="spellEnd"/>
      <w:r w:rsidRPr="00C1177C">
        <w:t xml:space="preserve"> a mere </w:t>
      </w:r>
      <w:proofErr w:type="spellStart"/>
      <w:r w:rsidRPr="00C1177C">
        <w:t>contingent</w:t>
      </w:r>
      <w:proofErr w:type="spellEnd"/>
      <w:r w:rsidRPr="00C1177C">
        <w:t xml:space="preserve"> </w:t>
      </w:r>
      <w:proofErr w:type="spellStart"/>
      <w:r w:rsidRPr="00C1177C">
        <w:t>absence</w:t>
      </w:r>
      <w:proofErr w:type="spellEnd"/>
      <w:r w:rsidRPr="00C1177C">
        <w:t xml:space="preserve"> of </w:t>
      </w:r>
      <w:proofErr w:type="spellStart"/>
      <w:r w:rsidRPr="00C1177C">
        <w:t>real</w:t>
      </w:r>
      <w:proofErr w:type="spellEnd"/>
      <w:r w:rsidRPr="00C1177C">
        <w:t xml:space="preserve"> data for the "intermediate" </w:t>
      </w:r>
      <w:proofErr w:type="spellStart"/>
      <w:r w:rsidRPr="00C1177C">
        <w:t>sizes</w:t>
      </w:r>
      <w:proofErr w:type="spellEnd"/>
      <w:r w:rsidRPr="00C1177C">
        <w:t xml:space="preserve">, </w:t>
      </w:r>
      <w:proofErr w:type="spellStart"/>
      <w:r w:rsidRPr="00C1177C">
        <w:t>which</w:t>
      </w:r>
      <w:proofErr w:type="spellEnd"/>
      <w:r w:rsidRPr="00C1177C">
        <w:t xml:space="preserve"> the </w:t>
      </w:r>
      <w:proofErr w:type="spellStart"/>
      <w:r w:rsidRPr="00C1177C">
        <w:t>research</w:t>
      </w:r>
      <w:proofErr w:type="spellEnd"/>
      <w:r w:rsidRPr="00C1177C">
        <w:t xml:space="preserve"> </w:t>
      </w:r>
      <w:proofErr w:type="spellStart"/>
      <w:r w:rsidRPr="00C1177C">
        <w:t>conducted</w:t>
      </w:r>
      <w:proofErr w:type="spellEnd"/>
      <w:r w:rsidRPr="00C1177C">
        <w:t xml:space="preserve"> in </w:t>
      </w:r>
      <w:proofErr w:type="spellStart"/>
      <w:r w:rsidRPr="00C1177C">
        <w:t>very</w:t>
      </w:r>
      <w:proofErr w:type="spellEnd"/>
      <w:r w:rsidRPr="00C1177C">
        <w:t xml:space="preserve"> </w:t>
      </w:r>
      <w:proofErr w:type="spellStart"/>
      <w:r w:rsidRPr="00C1177C">
        <w:t>stringent</w:t>
      </w:r>
      <w:proofErr w:type="spellEnd"/>
      <w:r w:rsidRPr="00C1177C">
        <w:t xml:space="preserve"> </w:t>
      </w:r>
      <w:proofErr w:type="spellStart"/>
      <w:r w:rsidRPr="00C1177C">
        <w:t>did</w:t>
      </w:r>
      <w:proofErr w:type="spellEnd"/>
      <w:r w:rsidRPr="00C1177C">
        <w:t xml:space="preserve"> </w:t>
      </w:r>
      <w:proofErr w:type="spellStart"/>
      <w:r w:rsidRPr="00C1177C">
        <w:t>not</w:t>
      </w:r>
      <w:proofErr w:type="spellEnd"/>
      <w:r w:rsidRPr="00C1177C">
        <w:t xml:space="preserve"> </w:t>
      </w:r>
      <w:proofErr w:type="spellStart"/>
      <w:r w:rsidRPr="00C1177C">
        <w:t>allow</w:t>
      </w:r>
      <w:proofErr w:type="spellEnd"/>
      <w:r w:rsidRPr="00C1177C">
        <w:t xml:space="preserve"> </w:t>
      </w:r>
      <w:proofErr w:type="spellStart"/>
      <w:r w:rsidRPr="00C1177C">
        <w:t>it</w:t>
      </w:r>
      <w:proofErr w:type="spellEnd"/>
      <w:r w:rsidRPr="00C1177C">
        <w:t xml:space="preserve"> to be </w:t>
      </w:r>
      <w:proofErr w:type="spellStart"/>
      <w:r w:rsidRPr="00C1177C">
        <w:t>filled</w:t>
      </w:r>
      <w:proofErr w:type="spellEnd"/>
      <w:r w:rsidRPr="00C1177C">
        <w:t xml:space="preserve">. </w:t>
      </w:r>
      <w:proofErr w:type="spellStart"/>
      <w:r w:rsidRPr="00C1177C">
        <w:t>Nonetheless</w:t>
      </w:r>
      <w:proofErr w:type="spellEnd"/>
      <w:r w:rsidRPr="00C1177C">
        <w:t xml:space="preserve">, </w:t>
      </w:r>
      <w:proofErr w:type="spellStart"/>
      <w:r w:rsidRPr="00C1177C">
        <w:t>we</w:t>
      </w:r>
      <w:proofErr w:type="spellEnd"/>
      <w:r w:rsidRPr="00C1177C">
        <w:t xml:space="preserve"> are </w:t>
      </w:r>
      <w:proofErr w:type="spellStart"/>
      <w:r w:rsidRPr="00C1177C">
        <w:t>inclined</w:t>
      </w:r>
      <w:proofErr w:type="spellEnd"/>
      <w:r w:rsidRPr="00C1177C">
        <w:t xml:space="preserve"> to assume the </w:t>
      </w:r>
      <w:proofErr w:type="spellStart"/>
      <w:r w:rsidRPr="00C1177C">
        <w:t>function</w:t>
      </w:r>
      <w:proofErr w:type="spellEnd"/>
      <w:r w:rsidRPr="00C1177C">
        <w:t xml:space="preserve"> </w:t>
      </w:r>
      <w:proofErr w:type="spellStart"/>
      <w:r w:rsidRPr="00C1177C">
        <w:t>found</w:t>
      </w:r>
      <w:proofErr w:type="spellEnd"/>
      <w:r w:rsidRPr="00C1177C">
        <w:t xml:space="preserve"> </w:t>
      </w:r>
      <w:proofErr w:type="spellStart"/>
      <w:r w:rsidRPr="00C1177C">
        <w:t>as</w:t>
      </w:r>
      <w:proofErr w:type="spellEnd"/>
      <w:r w:rsidRPr="00C1177C">
        <w:t xml:space="preserve"> a first </w:t>
      </w:r>
      <w:proofErr w:type="spellStart"/>
      <w:r w:rsidRPr="00C1177C">
        <w:t>approach</w:t>
      </w:r>
      <w:proofErr w:type="spellEnd"/>
      <w:r w:rsidRPr="00C1177C">
        <w:t xml:space="preserve"> estimator </w:t>
      </w:r>
      <w:proofErr w:type="spellStart"/>
      <w:r w:rsidRPr="00C1177C">
        <w:t>tool</w:t>
      </w:r>
      <w:proofErr w:type="spellEnd"/>
      <w:r w:rsidRPr="00C1177C">
        <w:t xml:space="preserve">, </w:t>
      </w:r>
      <w:proofErr w:type="spellStart"/>
      <w:r w:rsidRPr="00C1177C">
        <w:t>at</w:t>
      </w:r>
      <w:proofErr w:type="spellEnd"/>
      <w:r w:rsidRPr="00C1177C">
        <w:t xml:space="preserve"> </w:t>
      </w:r>
      <w:proofErr w:type="spellStart"/>
      <w:r w:rsidRPr="00C1177C">
        <w:t>least</w:t>
      </w:r>
      <w:proofErr w:type="spellEnd"/>
      <w:r w:rsidRPr="00C1177C">
        <w:t xml:space="preserve"> </w:t>
      </w:r>
      <w:proofErr w:type="spellStart"/>
      <w:r w:rsidRPr="00C1177C">
        <w:t>where</w:t>
      </w:r>
      <w:proofErr w:type="spellEnd"/>
      <w:r w:rsidRPr="00C1177C">
        <w:t xml:space="preserve"> </w:t>
      </w:r>
      <w:proofErr w:type="spellStart"/>
      <w:r w:rsidRPr="00C1177C">
        <w:t>plants</w:t>
      </w:r>
      <w:proofErr w:type="spellEnd"/>
      <w:r w:rsidRPr="00C1177C">
        <w:t xml:space="preserve"> on the </w:t>
      </w:r>
      <w:proofErr w:type="spellStart"/>
      <w:r w:rsidRPr="00C1177C">
        <w:t>national</w:t>
      </w:r>
      <w:proofErr w:type="spellEnd"/>
      <w:r w:rsidRPr="00C1177C">
        <w:t xml:space="preserve"> market are </w:t>
      </w:r>
      <w:proofErr w:type="spellStart"/>
      <w:r w:rsidRPr="00C1177C">
        <w:t>concerned</w:t>
      </w:r>
      <w:proofErr w:type="spellEnd"/>
      <w:r w:rsidRPr="00C1177C">
        <w:t>.</w:t>
      </w:r>
      <w:bookmarkStart w:id="0" w:name="_GoBack"/>
      <w:bookmarkEnd w:id="0"/>
    </w:p>
    <w:sectPr w:rsidR="00EF129B" w:rsidRPr="00EF129B" w:rsidSect="00C579D6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AE" w:rsidRDefault="004273AE" w:rsidP="001B2A6D">
      <w:pPr>
        <w:spacing w:after="0" w:line="240" w:lineRule="auto"/>
      </w:pPr>
      <w:r>
        <w:separator/>
      </w:r>
    </w:p>
  </w:endnote>
  <w:endnote w:type="continuationSeparator" w:id="0">
    <w:p w:rsidR="004273AE" w:rsidRDefault="004273AE" w:rsidP="001B2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AE" w:rsidRDefault="004273AE" w:rsidP="001B2A6D">
      <w:pPr>
        <w:spacing w:after="0" w:line="240" w:lineRule="auto"/>
      </w:pPr>
      <w:r>
        <w:separator/>
      </w:r>
    </w:p>
  </w:footnote>
  <w:footnote w:type="continuationSeparator" w:id="0">
    <w:p w:rsidR="004273AE" w:rsidRDefault="004273AE" w:rsidP="001B2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A2533"/>
    <w:multiLevelType w:val="hybridMultilevel"/>
    <w:tmpl w:val="2F24F518"/>
    <w:lvl w:ilvl="0" w:tplc="3C2245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B5EB8"/>
    <w:multiLevelType w:val="hybridMultilevel"/>
    <w:tmpl w:val="D1C87C70"/>
    <w:lvl w:ilvl="0" w:tplc="E69453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A2749"/>
    <w:multiLevelType w:val="hybridMultilevel"/>
    <w:tmpl w:val="024A1C16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4D"/>
    <w:rsid w:val="00003E5C"/>
    <w:rsid w:val="00065AB1"/>
    <w:rsid w:val="00074740"/>
    <w:rsid w:val="00094F8F"/>
    <w:rsid w:val="000F14FD"/>
    <w:rsid w:val="001047B2"/>
    <w:rsid w:val="00111046"/>
    <w:rsid w:val="001273BA"/>
    <w:rsid w:val="00143F63"/>
    <w:rsid w:val="001B2A6D"/>
    <w:rsid w:val="001E07F9"/>
    <w:rsid w:val="001E0E45"/>
    <w:rsid w:val="00227A82"/>
    <w:rsid w:val="00252E0A"/>
    <w:rsid w:val="00256763"/>
    <w:rsid w:val="002962E5"/>
    <w:rsid w:val="00297B1B"/>
    <w:rsid w:val="002A6BB7"/>
    <w:rsid w:val="00312E9E"/>
    <w:rsid w:val="00364FDA"/>
    <w:rsid w:val="003B1FFC"/>
    <w:rsid w:val="003C7779"/>
    <w:rsid w:val="0040498A"/>
    <w:rsid w:val="00424713"/>
    <w:rsid w:val="004273AE"/>
    <w:rsid w:val="0044271D"/>
    <w:rsid w:val="00473DA6"/>
    <w:rsid w:val="004C450D"/>
    <w:rsid w:val="00511D5D"/>
    <w:rsid w:val="00511D74"/>
    <w:rsid w:val="00514BA3"/>
    <w:rsid w:val="0056056F"/>
    <w:rsid w:val="005A5DFB"/>
    <w:rsid w:val="0063210E"/>
    <w:rsid w:val="00647904"/>
    <w:rsid w:val="00670B37"/>
    <w:rsid w:val="007453EB"/>
    <w:rsid w:val="00762559"/>
    <w:rsid w:val="00781720"/>
    <w:rsid w:val="007A0CCE"/>
    <w:rsid w:val="007A6AFE"/>
    <w:rsid w:val="007D1114"/>
    <w:rsid w:val="007F29A7"/>
    <w:rsid w:val="007F7005"/>
    <w:rsid w:val="0080267B"/>
    <w:rsid w:val="00825C0E"/>
    <w:rsid w:val="0083607B"/>
    <w:rsid w:val="00894EE6"/>
    <w:rsid w:val="008B0293"/>
    <w:rsid w:val="008F30B9"/>
    <w:rsid w:val="008F75CC"/>
    <w:rsid w:val="00907543"/>
    <w:rsid w:val="00943FE7"/>
    <w:rsid w:val="009A4D69"/>
    <w:rsid w:val="009F4612"/>
    <w:rsid w:val="00A018E5"/>
    <w:rsid w:val="00A2100D"/>
    <w:rsid w:val="00AA4EDF"/>
    <w:rsid w:val="00B77E84"/>
    <w:rsid w:val="00BB0AD7"/>
    <w:rsid w:val="00BE5D3B"/>
    <w:rsid w:val="00C1177C"/>
    <w:rsid w:val="00C35E20"/>
    <w:rsid w:val="00C3746E"/>
    <w:rsid w:val="00C579D6"/>
    <w:rsid w:val="00C6014D"/>
    <w:rsid w:val="00C658B6"/>
    <w:rsid w:val="00CB1B69"/>
    <w:rsid w:val="00CF219B"/>
    <w:rsid w:val="00CF23C8"/>
    <w:rsid w:val="00D565C2"/>
    <w:rsid w:val="00DA5EAD"/>
    <w:rsid w:val="00DF11BD"/>
    <w:rsid w:val="00E40162"/>
    <w:rsid w:val="00E5189B"/>
    <w:rsid w:val="00E7511C"/>
    <w:rsid w:val="00E9610C"/>
    <w:rsid w:val="00E97735"/>
    <w:rsid w:val="00EB474F"/>
    <w:rsid w:val="00EF129B"/>
    <w:rsid w:val="00EF5964"/>
    <w:rsid w:val="00F02366"/>
    <w:rsid w:val="00F64A0C"/>
    <w:rsid w:val="00FE2C4D"/>
    <w:rsid w:val="00FF16C0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60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6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607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B2A6D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B2A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A6D"/>
  </w:style>
  <w:style w:type="paragraph" w:styleId="Pidipagina">
    <w:name w:val="footer"/>
    <w:basedOn w:val="Normale"/>
    <w:link w:val="PidipaginaCarattere"/>
    <w:uiPriority w:val="99"/>
    <w:unhideWhenUsed/>
    <w:rsid w:val="001B2A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A6D"/>
  </w:style>
  <w:style w:type="paragraph" w:styleId="Paragrafoelenco">
    <w:name w:val="List Paragraph"/>
    <w:basedOn w:val="Normale"/>
    <w:uiPriority w:val="34"/>
    <w:qFormat/>
    <w:rsid w:val="00560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60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6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607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B2A6D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B2A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A6D"/>
  </w:style>
  <w:style w:type="paragraph" w:styleId="Pidipagina">
    <w:name w:val="footer"/>
    <w:basedOn w:val="Normale"/>
    <w:link w:val="PidipaginaCarattere"/>
    <w:uiPriority w:val="99"/>
    <w:unhideWhenUsed/>
    <w:rsid w:val="001B2A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A6D"/>
  </w:style>
  <w:style w:type="paragraph" w:styleId="Paragrafoelenco">
    <w:name w:val="List Paragraph"/>
    <w:basedOn w:val="Normale"/>
    <w:uiPriority w:val="34"/>
    <w:qFormat/>
    <w:rsid w:val="00560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a.mite.gov.it/it-IT/Oggetti/Info/849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D:/Documents/DC/Energia/Fotovoltaico_%20in%20Sicilia%20stanno%20per%20nascere%20due%20importanti%20parchi%20solari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Documents\DC\Energia\Cartel1fotovol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cuments\DC\Energia\Cartel1fotovolt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cuments\DC\Energia\Cartel1fotovol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'Domestici e PMI'!$B$2</c:f>
              <c:strCache>
                <c:ptCount val="1"/>
                <c:pt idx="0">
                  <c:v>€</c:v>
                </c:pt>
              </c:strCache>
            </c:strRef>
          </c:tx>
          <c:spPr>
            <a:ln w="28575">
              <a:noFill/>
            </a:ln>
          </c:spPr>
          <c:trendline>
            <c:spPr>
              <a:ln w="38100">
                <a:solidFill>
                  <a:srgbClr val="C00000"/>
                </a:solidFill>
                <a:prstDash val="dash"/>
              </a:ln>
            </c:spPr>
            <c:trendlineType val="power"/>
            <c:dispRSqr val="1"/>
            <c:dispEq val="1"/>
            <c:trendlineLbl>
              <c:layout>
                <c:manualLayout>
                  <c:x val="-4.1227252843394575E-2"/>
                  <c:y val="1.4863159426087905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b="1"/>
                  </a:pPr>
                  <a:endParaRPr lang="it-IT"/>
                </a:p>
              </c:txPr>
            </c:trendlineLbl>
          </c:trendline>
          <c:xVal>
            <c:numRef>
              <c:f>'Domestici e PMI'!$A$3:$A$25</c:f>
              <c:numCache>
                <c:formatCode>General</c:formatCode>
                <c:ptCount val="23"/>
                <c:pt idx="0">
                  <c:v>1</c:v>
                </c:pt>
                <c:pt idx="1">
                  <c:v>1.5</c:v>
                </c:pt>
                <c:pt idx="2">
                  <c:v>1.5</c:v>
                </c:pt>
                <c:pt idx="3">
                  <c:v>2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4.5</c:v>
                </c:pt>
                <c:pt idx="8">
                  <c:v>4.5</c:v>
                </c:pt>
                <c:pt idx="9">
                  <c:v>6</c:v>
                </c:pt>
                <c:pt idx="10">
                  <c:v>6</c:v>
                </c:pt>
                <c:pt idx="11">
                  <c:v>10</c:v>
                </c:pt>
                <c:pt idx="12">
                  <c:v>10</c:v>
                </c:pt>
                <c:pt idx="13">
                  <c:v>10</c:v>
                </c:pt>
                <c:pt idx="14">
                  <c:v>10</c:v>
                </c:pt>
                <c:pt idx="15">
                  <c:v>20</c:v>
                </c:pt>
                <c:pt idx="16">
                  <c:v>20</c:v>
                </c:pt>
                <c:pt idx="17">
                  <c:v>30</c:v>
                </c:pt>
                <c:pt idx="18">
                  <c:v>30</c:v>
                </c:pt>
                <c:pt idx="19">
                  <c:v>30</c:v>
                </c:pt>
                <c:pt idx="20">
                  <c:v>50</c:v>
                </c:pt>
                <c:pt idx="21">
                  <c:v>50</c:v>
                </c:pt>
                <c:pt idx="22">
                  <c:v>50</c:v>
                </c:pt>
              </c:numCache>
            </c:numRef>
          </c:xVal>
          <c:yVal>
            <c:numRef>
              <c:f>'Domestici e PMI'!$B$3:$B$25</c:f>
              <c:numCache>
                <c:formatCode>General</c:formatCode>
                <c:ptCount val="23"/>
                <c:pt idx="0">
                  <c:v>1010</c:v>
                </c:pt>
                <c:pt idx="1">
                  <c:v>2500</c:v>
                </c:pt>
                <c:pt idx="2">
                  <c:v>3800</c:v>
                </c:pt>
                <c:pt idx="3">
                  <c:v>1490</c:v>
                </c:pt>
                <c:pt idx="4">
                  <c:v>2445</c:v>
                </c:pt>
                <c:pt idx="5">
                  <c:v>4500</c:v>
                </c:pt>
                <c:pt idx="6">
                  <c:v>6000</c:v>
                </c:pt>
                <c:pt idx="7">
                  <c:v>7000</c:v>
                </c:pt>
                <c:pt idx="8">
                  <c:v>9000</c:v>
                </c:pt>
                <c:pt idx="9">
                  <c:v>9600</c:v>
                </c:pt>
                <c:pt idx="10">
                  <c:v>12000</c:v>
                </c:pt>
                <c:pt idx="11">
                  <c:v>8000</c:v>
                </c:pt>
                <c:pt idx="12">
                  <c:v>11500</c:v>
                </c:pt>
                <c:pt idx="13">
                  <c:v>13500</c:v>
                </c:pt>
                <c:pt idx="14">
                  <c:v>15500</c:v>
                </c:pt>
                <c:pt idx="15">
                  <c:v>18000</c:v>
                </c:pt>
                <c:pt idx="16">
                  <c:v>49000</c:v>
                </c:pt>
                <c:pt idx="17">
                  <c:v>28000</c:v>
                </c:pt>
                <c:pt idx="18">
                  <c:v>36000</c:v>
                </c:pt>
                <c:pt idx="19">
                  <c:v>62000</c:v>
                </c:pt>
                <c:pt idx="20">
                  <c:v>43000</c:v>
                </c:pt>
                <c:pt idx="21">
                  <c:v>53000</c:v>
                </c:pt>
                <c:pt idx="22">
                  <c:v>92000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8645760"/>
        <c:axId val="168647680"/>
      </c:scatterChart>
      <c:valAx>
        <c:axId val="168645760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it-IT"/>
                  <a:t>Power</a:t>
                </a:r>
                <a:r>
                  <a:rPr lang="it-IT" sz="1000" b="1" i="0" u="none" strike="noStrike" baseline="0">
                    <a:effectLst/>
                  </a:rPr>
                  <a:t> </a:t>
                </a:r>
                <a:r>
                  <a:rPr lang="it-IT" baseline="0"/>
                  <a:t>in kWp of the kit </a:t>
                </a:r>
                <a:endParaRPr lang="it-IT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647680"/>
        <c:crosses val="autoZero"/>
        <c:crossBetween val="midCat"/>
      </c:valAx>
      <c:valAx>
        <c:axId val="168647680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Cost in Eeuro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64576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rendline>
            <c:trendlineType val="poly"/>
            <c:order val="2"/>
            <c:dispRSqr val="1"/>
            <c:dispEq val="1"/>
            <c:trendlineLbl>
              <c:layout/>
              <c:numFmt formatCode="General" sourceLinked="0"/>
            </c:trendlineLbl>
          </c:trendline>
          <c:xVal>
            <c:numRef>
              <c:f>'Grandi Impianti'!$A$2:$A$5</c:f>
              <c:numCache>
                <c:formatCode>General</c:formatCode>
                <c:ptCount val="4"/>
                <c:pt idx="0">
                  <c:v>32</c:v>
                </c:pt>
                <c:pt idx="1">
                  <c:v>34</c:v>
                </c:pt>
                <c:pt idx="2">
                  <c:v>80</c:v>
                </c:pt>
                <c:pt idx="3">
                  <c:v>150</c:v>
                </c:pt>
              </c:numCache>
            </c:numRef>
          </c:xVal>
          <c:yVal>
            <c:numRef>
              <c:f>'Grandi Impianti'!$B$2:$B$5</c:f>
              <c:numCache>
                <c:formatCode>General</c:formatCode>
                <c:ptCount val="4"/>
                <c:pt idx="0">
                  <c:v>33</c:v>
                </c:pt>
                <c:pt idx="1">
                  <c:v>30</c:v>
                </c:pt>
                <c:pt idx="2">
                  <c:v>60</c:v>
                </c:pt>
                <c:pt idx="3">
                  <c:v>312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6892544"/>
        <c:axId val="196898816"/>
      </c:scatterChart>
      <c:valAx>
        <c:axId val="196892544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it-IT"/>
                  <a:t>MWp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96898816"/>
        <c:crosses val="autoZero"/>
        <c:crossBetween val="midCat"/>
      </c:valAx>
      <c:valAx>
        <c:axId val="196898816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it-IT"/>
                  <a:t>M€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96892544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'Effetto di Scala in UE'!$C$1</c:f>
              <c:strCache>
                <c:ptCount val="1"/>
                <c:pt idx="0">
                  <c:v>€/kW</c:v>
                </c:pt>
              </c:strCache>
            </c:strRef>
          </c:tx>
          <c:trendline>
            <c:trendlineType val="log"/>
            <c:dispRSqr val="1"/>
            <c:dispEq val="1"/>
            <c:trendlineLbl>
              <c:layout>
                <c:manualLayout>
                  <c:x val="5.9616797900262468E-2"/>
                  <c:y val="-0.19072214931466899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b="1"/>
                  </a:pPr>
                  <a:endParaRPr lang="it-IT"/>
                </a:p>
              </c:txPr>
            </c:trendlineLbl>
          </c:trendline>
          <c:xVal>
            <c:numRef>
              <c:f>'Effetto di Scala in UE'!$A$2:$A$28</c:f>
              <c:numCache>
                <c:formatCode>General</c:formatCode>
                <c:ptCount val="27"/>
                <c:pt idx="0">
                  <c:v>1</c:v>
                </c:pt>
                <c:pt idx="1">
                  <c:v>1.5</c:v>
                </c:pt>
                <c:pt idx="2">
                  <c:v>1.5</c:v>
                </c:pt>
                <c:pt idx="3">
                  <c:v>2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4.5</c:v>
                </c:pt>
                <c:pt idx="8">
                  <c:v>4.5</c:v>
                </c:pt>
                <c:pt idx="9">
                  <c:v>6</c:v>
                </c:pt>
                <c:pt idx="10">
                  <c:v>6</c:v>
                </c:pt>
                <c:pt idx="11">
                  <c:v>10</c:v>
                </c:pt>
                <c:pt idx="12">
                  <c:v>10</c:v>
                </c:pt>
                <c:pt idx="13">
                  <c:v>10</c:v>
                </c:pt>
                <c:pt idx="14">
                  <c:v>10</c:v>
                </c:pt>
                <c:pt idx="15">
                  <c:v>20</c:v>
                </c:pt>
                <c:pt idx="16">
                  <c:v>20</c:v>
                </c:pt>
                <c:pt idx="17">
                  <c:v>30</c:v>
                </c:pt>
                <c:pt idx="18">
                  <c:v>30</c:v>
                </c:pt>
                <c:pt idx="19">
                  <c:v>30</c:v>
                </c:pt>
                <c:pt idx="20">
                  <c:v>50</c:v>
                </c:pt>
                <c:pt idx="21">
                  <c:v>50</c:v>
                </c:pt>
                <c:pt idx="22">
                  <c:v>50</c:v>
                </c:pt>
                <c:pt idx="23">
                  <c:v>32000</c:v>
                </c:pt>
                <c:pt idx="24">
                  <c:v>34000</c:v>
                </c:pt>
                <c:pt idx="25">
                  <c:v>80000</c:v>
                </c:pt>
                <c:pt idx="26">
                  <c:v>150000</c:v>
                </c:pt>
              </c:numCache>
            </c:numRef>
          </c:xVal>
          <c:yVal>
            <c:numRef>
              <c:f>'Effetto di Scala in UE'!$C$2:$C$28</c:f>
              <c:numCache>
                <c:formatCode>General</c:formatCode>
                <c:ptCount val="27"/>
                <c:pt idx="0">
                  <c:v>1472.5</c:v>
                </c:pt>
                <c:pt idx="1">
                  <c:v>1451.1624031935683</c:v>
                </c:pt>
                <c:pt idx="2">
                  <c:v>1451.1624031935683</c:v>
                </c:pt>
                <c:pt idx="3">
                  <c:v>1436.2109170994524</c:v>
                </c:pt>
                <c:pt idx="4">
                  <c:v>1415.3991755184245</c:v>
                </c:pt>
                <c:pt idx="5">
                  <c:v>1415.3991755184245</c:v>
                </c:pt>
                <c:pt idx="6">
                  <c:v>1415.3991755184245</c:v>
                </c:pt>
                <c:pt idx="7">
                  <c:v>1394.8890112214006</c:v>
                </c:pt>
                <c:pt idx="8">
                  <c:v>1394.8890112214006</c:v>
                </c:pt>
                <c:pt idx="9">
                  <c:v>1380.5173160836168</c:v>
                </c:pt>
                <c:pt idx="10">
                  <c:v>1380.5173160836168</c:v>
                </c:pt>
                <c:pt idx="11">
                  <c:v>1355.3619944065451</c:v>
                </c:pt>
                <c:pt idx="12">
                  <c:v>1355.3619944065451</c:v>
                </c:pt>
                <c:pt idx="13">
                  <c:v>1355.3619944065451</c:v>
                </c:pt>
                <c:pt idx="14">
                  <c:v>1355.3619944065451</c:v>
                </c:pt>
                <c:pt idx="15">
                  <c:v>1321.95972359142</c:v>
                </c:pt>
                <c:pt idx="16">
                  <c:v>1321.95972359142</c:v>
                </c:pt>
                <c:pt idx="17">
                  <c:v>1302.8035649657256</c:v>
                </c:pt>
                <c:pt idx="18">
                  <c:v>1302.8035649657256</c:v>
                </c:pt>
                <c:pt idx="19">
                  <c:v>1302.8035649657256</c:v>
                </c:pt>
                <c:pt idx="20">
                  <c:v>1279.0643170932535</c:v>
                </c:pt>
                <c:pt idx="21">
                  <c:v>1279.0643170932535</c:v>
                </c:pt>
                <c:pt idx="22">
                  <c:v>1279.0643170932535</c:v>
                </c:pt>
                <c:pt idx="23">
                  <c:v>1013.6077074180239</c:v>
                </c:pt>
                <c:pt idx="24">
                  <c:v>1011.3979346730628</c:v>
                </c:pt>
                <c:pt idx="25">
                  <c:v>980.71781382788367</c:v>
                </c:pt>
                <c:pt idx="26">
                  <c:v>958.77349178494649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6918656"/>
        <c:axId val="196810240"/>
      </c:scatterChart>
      <c:valAx>
        <c:axId val="196918656"/>
        <c:scaling>
          <c:logBase val="10"/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Peak Power in kWp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96810240"/>
        <c:crosses val="autoZero"/>
        <c:crossBetween val="midCat"/>
      </c:valAx>
      <c:valAx>
        <c:axId val="196810240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it-IT"/>
                  <a:t>Unit</a:t>
                </a:r>
                <a:r>
                  <a:rPr lang="it-IT" baseline="0"/>
                  <a:t> Price</a:t>
                </a:r>
                <a:r>
                  <a:rPr lang="it-IT"/>
                  <a:t> in €/kW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96918656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0.20486</cdr:x>
      <cdr:y>0.42725</cdr:y>
    </cdr:from>
    <cdr:to>
      <cdr:x>0.44514</cdr:x>
      <cdr:y>0.76212</cdr:y>
    </cdr:to>
    <cdr:cxnSp macro="">
      <cdr:nvCxnSpPr>
        <cdr:cNvPr id="3" name="Connettore 1 2"/>
        <cdr:cNvCxnSpPr/>
      </cdr:nvCxnSpPr>
      <cdr:spPr>
        <a:xfrm xmlns:a="http://schemas.openxmlformats.org/drawingml/2006/main" flipV="1">
          <a:off x="936625" y="1174744"/>
          <a:ext cx="1098550" cy="92075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0.44514</cdr:x>
      <cdr:y>0.33025</cdr:y>
    </cdr:from>
    <cdr:to>
      <cdr:x>0.57153</cdr:x>
      <cdr:y>0.42725</cdr:y>
    </cdr:to>
    <cdr:cxnSp macro="">
      <cdr:nvCxnSpPr>
        <cdr:cNvPr id="5" name="Connettore 1 4"/>
        <cdr:cNvCxnSpPr/>
      </cdr:nvCxnSpPr>
      <cdr:spPr>
        <a:xfrm xmlns:a="http://schemas.openxmlformats.org/drawingml/2006/main" flipV="1">
          <a:off x="2035175" y="908044"/>
          <a:ext cx="577850" cy="26670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0.57014</cdr:x>
      <cdr:y>0.10623</cdr:y>
    </cdr:from>
    <cdr:to>
      <cdr:x>0.82431</cdr:x>
      <cdr:y>0.33025</cdr:y>
    </cdr:to>
    <cdr:cxnSp macro="">
      <cdr:nvCxnSpPr>
        <cdr:cNvPr id="7" name="Connettore 1 6"/>
        <cdr:cNvCxnSpPr/>
      </cdr:nvCxnSpPr>
      <cdr:spPr>
        <a:xfrm xmlns:a="http://schemas.openxmlformats.org/drawingml/2006/main" flipV="1">
          <a:off x="2606675" y="292094"/>
          <a:ext cx="1162050" cy="61595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0.82431</cdr:x>
      <cdr:y>0.10161</cdr:y>
    </cdr:from>
    <cdr:to>
      <cdr:x>0.8257</cdr:x>
      <cdr:y>0.45727</cdr:y>
    </cdr:to>
    <cdr:cxnSp macro="">
      <cdr:nvCxnSpPr>
        <cdr:cNvPr id="10" name="Connettore 1 9"/>
        <cdr:cNvCxnSpPr/>
      </cdr:nvCxnSpPr>
      <cdr:spPr>
        <a:xfrm xmlns:a="http://schemas.openxmlformats.org/drawingml/2006/main">
          <a:off x="3768725" y="279386"/>
          <a:ext cx="6355" cy="97790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0.31597</cdr:x>
      <cdr:y>0.57967</cdr:y>
    </cdr:from>
    <cdr:to>
      <cdr:x>0.57014</cdr:x>
      <cdr:y>0.72286</cdr:y>
    </cdr:to>
    <cdr:cxnSp macro="">
      <cdr:nvCxnSpPr>
        <cdr:cNvPr id="15" name="Connettore 1 14"/>
        <cdr:cNvCxnSpPr/>
      </cdr:nvCxnSpPr>
      <cdr:spPr>
        <a:xfrm xmlns:a="http://schemas.openxmlformats.org/drawingml/2006/main" flipH="1">
          <a:off x="1444627" y="1593844"/>
          <a:ext cx="1162048" cy="39370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0.20208</cdr:x>
      <cdr:y>0.72517</cdr:y>
    </cdr:from>
    <cdr:to>
      <cdr:x>0.32152</cdr:x>
      <cdr:y>0.78522</cdr:y>
    </cdr:to>
    <cdr:cxnSp macro="">
      <cdr:nvCxnSpPr>
        <cdr:cNvPr id="17" name="Connettore 1 16"/>
        <cdr:cNvCxnSpPr/>
      </cdr:nvCxnSpPr>
      <cdr:spPr>
        <a:xfrm xmlns:a="http://schemas.openxmlformats.org/drawingml/2006/main" flipH="1">
          <a:off x="923925" y="1993901"/>
          <a:ext cx="546081" cy="165093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0.40764</cdr:x>
      <cdr:y>0.61201</cdr:y>
    </cdr:from>
    <cdr:to>
      <cdr:x>0.40764</cdr:x>
      <cdr:y>0.61201</cdr:y>
    </cdr:to>
    <cdr:cxnSp macro="">
      <cdr:nvCxnSpPr>
        <cdr:cNvPr id="19" name="Connettore 1 18"/>
        <cdr:cNvCxnSpPr/>
      </cdr:nvCxnSpPr>
      <cdr:spPr>
        <a:xfrm xmlns:a="http://schemas.openxmlformats.org/drawingml/2006/main">
          <a:off x="1863725" y="1682744"/>
          <a:ext cx="0" cy="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0.57431</cdr:x>
      <cdr:y>0.47575</cdr:y>
    </cdr:from>
    <cdr:to>
      <cdr:x>0.82708</cdr:x>
      <cdr:y>0.58198</cdr:y>
    </cdr:to>
    <cdr:cxnSp macro="">
      <cdr:nvCxnSpPr>
        <cdr:cNvPr id="21" name="Connettore 1 20"/>
        <cdr:cNvCxnSpPr/>
      </cdr:nvCxnSpPr>
      <cdr:spPr>
        <a:xfrm xmlns:a="http://schemas.openxmlformats.org/drawingml/2006/main" flipH="1">
          <a:off x="2625725" y="1308094"/>
          <a:ext cx="1155700" cy="29210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39329</dc:creator>
  <cp:lastModifiedBy>39329</cp:lastModifiedBy>
  <cp:revision>19</cp:revision>
  <dcterms:created xsi:type="dcterms:W3CDTF">2023-09-09T17:37:00Z</dcterms:created>
  <dcterms:modified xsi:type="dcterms:W3CDTF">2023-09-09T19:38:00Z</dcterms:modified>
</cp:coreProperties>
</file>